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BA7" w:rsidRPr="007A02B0" w:rsidRDefault="00F85BA7" w:rsidP="002204A8">
      <w:pPr>
        <w:spacing w:after="0"/>
        <w:ind w:right="-183"/>
        <w:rPr>
          <w:rFonts w:ascii="Titillium" w:hAnsi="Titillium" w:cs="Arial"/>
          <w:b/>
        </w:rPr>
      </w:pPr>
      <w:bookmarkStart w:id="0" w:name="_GoBack"/>
      <w:bookmarkEnd w:id="0"/>
      <w:r w:rsidRPr="007A02B0">
        <w:rPr>
          <w:rFonts w:ascii="Titillium" w:hAnsi="Titillium" w:cs="Arial"/>
          <w:b/>
        </w:rPr>
        <w:t>PRORAČUNSKI KORISNIK: INSTITUT ZA MEDICINSKA ISTRAŽIVANJA I MEDICINU RADA</w:t>
      </w:r>
    </w:p>
    <w:p w:rsidR="00F85BA7" w:rsidRPr="007A02B0" w:rsidRDefault="00F85BA7" w:rsidP="002204A8">
      <w:pPr>
        <w:spacing w:after="0"/>
        <w:rPr>
          <w:rFonts w:ascii="Titillium" w:hAnsi="Titillium" w:cs="Arial"/>
          <w:b/>
        </w:rPr>
      </w:pPr>
      <w:r w:rsidRPr="007A02B0">
        <w:rPr>
          <w:rFonts w:ascii="Titillium" w:hAnsi="Titillium" w:cs="Arial"/>
          <w:b/>
        </w:rPr>
        <w:t>RAZDJEL: 080 MINISTARSTVO ZNANOSTI I OBRAZOVANJA</w:t>
      </w:r>
    </w:p>
    <w:p w:rsidR="00F85BA7" w:rsidRPr="007A02B0" w:rsidRDefault="00F85BA7" w:rsidP="002204A8">
      <w:pPr>
        <w:spacing w:after="0"/>
        <w:rPr>
          <w:rFonts w:ascii="Titillium" w:hAnsi="Titillium" w:cs="Arial"/>
          <w:b/>
        </w:rPr>
      </w:pPr>
      <w:r w:rsidRPr="007A02B0">
        <w:rPr>
          <w:rFonts w:ascii="Titillium" w:hAnsi="Titillium" w:cs="Arial"/>
          <w:b/>
        </w:rPr>
        <w:t>RKP: 02959</w:t>
      </w:r>
    </w:p>
    <w:p w:rsidR="00F85BA7" w:rsidRPr="007A02B0" w:rsidRDefault="00F85BA7" w:rsidP="002204A8">
      <w:pPr>
        <w:spacing w:after="0"/>
        <w:rPr>
          <w:rFonts w:ascii="Titillium" w:hAnsi="Titillium" w:cs="Arial"/>
          <w:b/>
        </w:rPr>
      </w:pPr>
      <w:r w:rsidRPr="007A02B0">
        <w:rPr>
          <w:rFonts w:ascii="Titillium" w:hAnsi="Titillium" w:cs="Arial"/>
          <w:b/>
        </w:rPr>
        <w:t>OIB: 30285469659</w:t>
      </w:r>
    </w:p>
    <w:p w:rsidR="00F85BA7" w:rsidRPr="007A02B0" w:rsidRDefault="00F85BA7" w:rsidP="002204A8">
      <w:pPr>
        <w:spacing w:after="0"/>
        <w:rPr>
          <w:rFonts w:ascii="Titillium" w:hAnsi="Titillium" w:cs="Arial"/>
          <w:b/>
        </w:rPr>
      </w:pPr>
      <w:r w:rsidRPr="007A02B0">
        <w:rPr>
          <w:rFonts w:ascii="Titillium" w:hAnsi="Titillium" w:cs="Arial"/>
          <w:b/>
        </w:rPr>
        <w:t>ŠIFRA DJELATNOSTI: 7219</w:t>
      </w:r>
    </w:p>
    <w:p w:rsidR="00F85BA7" w:rsidRPr="007A02B0" w:rsidRDefault="00F85BA7" w:rsidP="002204A8">
      <w:pPr>
        <w:spacing w:after="0"/>
        <w:rPr>
          <w:rFonts w:ascii="Titillium" w:hAnsi="Titillium" w:cs="Arial"/>
        </w:rPr>
      </w:pPr>
      <w:r w:rsidRPr="007A02B0">
        <w:rPr>
          <w:rFonts w:ascii="Titillium" w:hAnsi="Titillium" w:cs="Arial"/>
          <w:b/>
        </w:rPr>
        <w:t>IBAN: HR6923600001101214035</w:t>
      </w:r>
    </w:p>
    <w:p w:rsidR="00F85BA7" w:rsidRDefault="00F85BA7" w:rsidP="002204A8">
      <w:pPr>
        <w:spacing w:after="0"/>
        <w:rPr>
          <w:rFonts w:ascii="Titillium" w:hAnsi="Titillium" w:cs="Arial"/>
        </w:rPr>
      </w:pPr>
    </w:p>
    <w:p w:rsidR="00754EE1" w:rsidRPr="007A02B0" w:rsidRDefault="00754EE1" w:rsidP="002204A8">
      <w:pPr>
        <w:spacing w:after="0"/>
        <w:rPr>
          <w:rFonts w:ascii="Titillium" w:hAnsi="Titillium" w:cs="Arial"/>
        </w:rPr>
      </w:pPr>
    </w:p>
    <w:p w:rsidR="002A4F04" w:rsidRPr="007A02B0" w:rsidRDefault="002A4F04" w:rsidP="002204A8">
      <w:pPr>
        <w:spacing w:after="0"/>
        <w:rPr>
          <w:rFonts w:ascii="Titillium" w:hAnsi="Titillium" w:cs="Arial"/>
        </w:rPr>
      </w:pPr>
    </w:p>
    <w:p w:rsidR="008519A7" w:rsidRPr="007A02B0" w:rsidRDefault="00F85BA7" w:rsidP="002204A8">
      <w:pPr>
        <w:spacing w:after="0"/>
        <w:jc w:val="center"/>
        <w:rPr>
          <w:rFonts w:ascii="Titillium" w:hAnsi="Titillium" w:cs="Arial"/>
          <w:b/>
        </w:rPr>
      </w:pPr>
      <w:r w:rsidRPr="007A02B0">
        <w:rPr>
          <w:rFonts w:ascii="Titillium" w:hAnsi="Titillium" w:cs="Arial"/>
          <w:b/>
        </w:rPr>
        <w:t xml:space="preserve">BILJEŠKE UZ </w:t>
      </w:r>
      <w:r w:rsidR="0023052A" w:rsidRPr="007A02B0">
        <w:rPr>
          <w:rFonts w:ascii="Titillium" w:hAnsi="Titillium" w:cs="Arial"/>
          <w:b/>
        </w:rPr>
        <w:t xml:space="preserve">FINANCIJSKE IZVJEŠTAJE </w:t>
      </w:r>
      <w:r w:rsidRPr="007A02B0">
        <w:rPr>
          <w:rFonts w:ascii="Titillium" w:hAnsi="Titillium" w:cs="Arial"/>
          <w:b/>
        </w:rPr>
        <w:t>ZA RAZDOBLJE I-</w:t>
      </w:r>
      <w:r w:rsidR="00466679">
        <w:rPr>
          <w:rFonts w:ascii="Titillium" w:hAnsi="Titillium" w:cs="Arial"/>
          <w:b/>
        </w:rPr>
        <w:t>X</w:t>
      </w:r>
      <w:r w:rsidR="0093237B">
        <w:rPr>
          <w:rFonts w:ascii="Titillium" w:hAnsi="Titillium" w:cs="Arial"/>
          <w:b/>
        </w:rPr>
        <w:t>II</w:t>
      </w:r>
      <w:r w:rsidR="004D1B8D" w:rsidRPr="007A02B0">
        <w:rPr>
          <w:rFonts w:ascii="Titillium" w:hAnsi="Titillium" w:cs="Arial"/>
          <w:b/>
        </w:rPr>
        <w:t xml:space="preserve"> </w:t>
      </w:r>
      <w:r w:rsidRPr="007A02B0">
        <w:rPr>
          <w:rFonts w:ascii="Titillium" w:hAnsi="Titillium" w:cs="Arial"/>
          <w:b/>
        </w:rPr>
        <w:t>20</w:t>
      </w:r>
      <w:r w:rsidR="00365B28" w:rsidRPr="007A02B0">
        <w:rPr>
          <w:rFonts w:ascii="Titillium" w:hAnsi="Titillium" w:cs="Arial"/>
          <w:b/>
        </w:rPr>
        <w:t>2</w:t>
      </w:r>
      <w:r w:rsidR="00827B31">
        <w:rPr>
          <w:rFonts w:ascii="Titillium" w:hAnsi="Titillium" w:cs="Arial"/>
          <w:b/>
        </w:rPr>
        <w:t>4</w:t>
      </w:r>
      <w:r w:rsidRPr="007A02B0">
        <w:rPr>
          <w:rFonts w:ascii="Titillium" w:hAnsi="Titillium" w:cs="Arial"/>
          <w:b/>
        </w:rPr>
        <w:t>. GODINE</w:t>
      </w:r>
    </w:p>
    <w:p w:rsidR="00EF4422" w:rsidRDefault="00EF4422" w:rsidP="002204A8">
      <w:pPr>
        <w:spacing w:after="0"/>
        <w:jc w:val="center"/>
        <w:rPr>
          <w:rFonts w:ascii="Titillium" w:hAnsi="Titillium" w:cs="Arial"/>
          <w:b/>
        </w:rPr>
      </w:pPr>
    </w:p>
    <w:p w:rsidR="00F85BA7" w:rsidRPr="00A16AAB" w:rsidRDefault="0023052A" w:rsidP="002204A8">
      <w:pPr>
        <w:spacing w:after="0"/>
        <w:ind w:left="360"/>
        <w:jc w:val="center"/>
        <w:rPr>
          <w:rFonts w:ascii="Titillium" w:hAnsi="Titillium" w:cs="Arial"/>
          <w:b/>
          <w:sz w:val="20"/>
          <w:szCs w:val="20"/>
        </w:rPr>
      </w:pPr>
      <w:r w:rsidRPr="00A16AAB">
        <w:rPr>
          <w:rFonts w:ascii="Titillium" w:hAnsi="Titillium" w:cs="Arial"/>
          <w:b/>
          <w:sz w:val="20"/>
          <w:szCs w:val="20"/>
        </w:rPr>
        <w:t>IZVJEŠTAJ O PRIHODIMA I RASHODIMA, PRIMICIMA I IZDACIMA (Obrazac: PR-RAS)</w:t>
      </w:r>
    </w:p>
    <w:p w:rsidR="0023052A" w:rsidRPr="00A16AAB" w:rsidRDefault="0023052A" w:rsidP="00F85BA7">
      <w:pPr>
        <w:spacing w:after="0"/>
        <w:jc w:val="both"/>
        <w:rPr>
          <w:rFonts w:ascii="Titillium" w:hAnsi="Titillium" w:cs="Arial"/>
          <w:b/>
          <w:sz w:val="20"/>
          <w:szCs w:val="20"/>
        </w:rPr>
      </w:pPr>
    </w:p>
    <w:p w:rsidR="0058141D" w:rsidRPr="00A16AAB" w:rsidRDefault="00F85BA7" w:rsidP="00F85BA7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A16AAB">
        <w:rPr>
          <w:rFonts w:ascii="Titillium" w:hAnsi="Titillium" w:cs="Arial"/>
          <w:sz w:val="20"/>
          <w:szCs w:val="20"/>
        </w:rPr>
        <w:t>PRIHODI I RASHODI POSLOVANJA</w:t>
      </w:r>
    </w:p>
    <w:p w:rsidR="00F85BA7" w:rsidRPr="00A16AAB" w:rsidRDefault="00F85BA7" w:rsidP="00F85BA7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A16AAB">
        <w:rPr>
          <w:rFonts w:ascii="Titillium" w:hAnsi="Titillium" w:cs="Arial"/>
          <w:sz w:val="20"/>
          <w:szCs w:val="20"/>
        </w:rPr>
        <w:t>U razdoblju siječanj-</w:t>
      </w:r>
      <w:r w:rsidR="00D1110C">
        <w:rPr>
          <w:rFonts w:ascii="Titillium" w:hAnsi="Titillium" w:cs="Arial"/>
          <w:sz w:val="20"/>
          <w:szCs w:val="20"/>
        </w:rPr>
        <w:t>prosinac</w:t>
      </w:r>
      <w:r w:rsidRPr="00A16AAB">
        <w:rPr>
          <w:rFonts w:ascii="Titillium" w:hAnsi="Titillium" w:cs="Arial"/>
          <w:sz w:val="20"/>
          <w:szCs w:val="20"/>
        </w:rPr>
        <w:t xml:space="preserve"> 20</w:t>
      </w:r>
      <w:r w:rsidR="00365B28" w:rsidRPr="00A16AAB">
        <w:rPr>
          <w:rFonts w:ascii="Titillium" w:hAnsi="Titillium" w:cs="Arial"/>
          <w:sz w:val="20"/>
          <w:szCs w:val="20"/>
        </w:rPr>
        <w:t>2</w:t>
      </w:r>
      <w:r w:rsidR="00827B31">
        <w:rPr>
          <w:rFonts w:ascii="Titillium" w:hAnsi="Titillium" w:cs="Arial"/>
          <w:sz w:val="20"/>
          <w:szCs w:val="20"/>
        </w:rPr>
        <w:t>4</w:t>
      </w:r>
      <w:r w:rsidR="008E6CCA" w:rsidRPr="00A16AAB">
        <w:rPr>
          <w:rFonts w:ascii="Titillium" w:hAnsi="Titillium" w:cs="Arial"/>
          <w:sz w:val="20"/>
          <w:szCs w:val="20"/>
        </w:rPr>
        <w:t>.</w:t>
      </w:r>
      <w:r w:rsidRPr="00A16AAB">
        <w:rPr>
          <w:rFonts w:ascii="Titillium" w:hAnsi="Titillium" w:cs="Arial"/>
          <w:sz w:val="20"/>
          <w:szCs w:val="20"/>
        </w:rPr>
        <w:t xml:space="preserve"> godine, Institut za medicinska istraživanja i medicinu rada ostvario je</w:t>
      </w:r>
      <w:r w:rsidRPr="00A16AAB">
        <w:rPr>
          <w:rFonts w:ascii="Titillium" w:hAnsi="Titillium" w:cs="Arial"/>
          <w:b/>
          <w:sz w:val="20"/>
          <w:szCs w:val="20"/>
        </w:rPr>
        <w:t xml:space="preserve"> prihode poslovanja</w:t>
      </w:r>
      <w:r w:rsidRPr="00A16AAB">
        <w:rPr>
          <w:rFonts w:ascii="Titillium" w:hAnsi="Titillium" w:cs="Arial"/>
          <w:sz w:val="20"/>
          <w:szCs w:val="20"/>
        </w:rPr>
        <w:t xml:space="preserve"> u iznosu od </w:t>
      </w:r>
      <w:r w:rsidR="00D1110C">
        <w:rPr>
          <w:rFonts w:ascii="Titillium" w:hAnsi="Titillium" w:cs="Arial"/>
          <w:sz w:val="20"/>
          <w:szCs w:val="20"/>
        </w:rPr>
        <w:t>12.807.704,50</w:t>
      </w:r>
      <w:r w:rsidR="004D1B8D" w:rsidRPr="00A16AAB">
        <w:rPr>
          <w:rFonts w:ascii="Titillium" w:hAnsi="Titillium" w:cs="Arial"/>
          <w:sz w:val="20"/>
          <w:szCs w:val="20"/>
        </w:rPr>
        <w:t xml:space="preserve"> </w:t>
      </w:r>
      <w:r w:rsidR="00FF07FE">
        <w:rPr>
          <w:rFonts w:ascii="Titillium" w:hAnsi="Titillium" w:cs="Arial"/>
          <w:sz w:val="20"/>
          <w:szCs w:val="20"/>
        </w:rPr>
        <w:t>EUR</w:t>
      </w:r>
      <w:r w:rsidRPr="00A16AAB">
        <w:rPr>
          <w:rFonts w:ascii="Titillium" w:hAnsi="Titillium" w:cs="Arial"/>
          <w:sz w:val="20"/>
          <w:szCs w:val="20"/>
        </w:rPr>
        <w:t xml:space="preserve"> </w:t>
      </w:r>
      <w:r w:rsidR="00A5761C" w:rsidRPr="00A16AAB">
        <w:rPr>
          <w:rFonts w:ascii="Titillium" w:hAnsi="Titillium" w:cs="Arial"/>
          <w:sz w:val="20"/>
          <w:szCs w:val="20"/>
        </w:rPr>
        <w:t>(</w:t>
      </w:r>
      <w:r w:rsidR="006B4B82" w:rsidRPr="00A16AAB">
        <w:rPr>
          <w:rFonts w:ascii="Titillium" w:hAnsi="Titillium" w:cs="Arial"/>
          <w:sz w:val="20"/>
          <w:szCs w:val="20"/>
        </w:rPr>
        <w:t>6</w:t>
      </w:r>
      <w:r w:rsidRPr="00A16AAB">
        <w:rPr>
          <w:rFonts w:ascii="Titillium" w:hAnsi="Titillium" w:cs="Arial"/>
          <w:sz w:val="20"/>
          <w:szCs w:val="20"/>
        </w:rPr>
        <w:t>)</w:t>
      </w:r>
      <w:r w:rsidR="00435CB3" w:rsidRPr="00A16AAB">
        <w:rPr>
          <w:rFonts w:ascii="Titillium" w:hAnsi="Titillium" w:cs="Arial"/>
          <w:sz w:val="20"/>
          <w:szCs w:val="20"/>
        </w:rPr>
        <w:t xml:space="preserve">. </w:t>
      </w:r>
      <w:r w:rsidR="00E81A66" w:rsidRPr="00A16AAB">
        <w:rPr>
          <w:rFonts w:ascii="Titillium" w:hAnsi="Titillium" w:cs="Arial"/>
          <w:sz w:val="20"/>
          <w:szCs w:val="20"/>
        </w:rPr>
        <w:t xml:space="preserve">Prihodi su </w:t>
      </w:r>
      <w:r w:rsidR="00E90797" w:rsidRPr="00A16AAB">
        <w:rPr>
          <w:rFonts w:ascii="Titillium" w:hAnsi="Titillium" w:cs="Arial"/>
          <w:sz w:val="20"/>
          <w:szCs w:val="20"/>
        </w:rPr>
        <w:t>ostvareni od</w:t>
      </w:r>
      <w:r w:rsidR="00435CB3" w:rsidRPr="00A16AAB">
        <w:rPr>
          <w:rFonts w:ascii="Titillium" w:hAnsi="Titillium" w:cs="Arial"/>
          <w:sz w:val="20"/>
          <w:szCs w:val="20"/>
        </w:rPr>
        <w:t xml:space="preserve">: </w:t>
      </w:r>
    </w:p>
    <w:p w:rsidR="00536FF6" w:rsidRPr="00536FF6" w:rsidRDefault="00536FF6" w:rsidP="00484962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tillium" w:hAnsi="Titillium" w:cs="Arial"/>
          <w:sz w:val="20"/>
          <w:szCs w:val="20"/>
        </w:rPr>
      </w:pPr>
      <w:r w:rsidRPr="00536FF6">
        <w:rPr>
          <w:rFonts w:ascii="Titillium" w:hAnsi="Titillium" w:cs="Arial"/>
          <w:sz w:val="20"/>
          <w:szCs w:val="20"/>
        </w:rPr>
        <w:t xml:space="preserve">Pomoći od međunarodnih organizacija te institucija i tijela EU (632) </w:t>
      </w:r>
      <w:r w:rsidR="00D1110C">
        <w:rPr>
          <w:rFonts w:ascii="Titillium" w:hAnsi="Titillium" w:cs="Arial"/>
          <w:sz w:val="20"/>
          <w:szCs w:val="20"/>
        </w:rPr>
        <w:t>1.306.260,20</w:t>
      </w:r>
      <w:r w:rsidRPr="00536FF6">
        <w:rPr>
          <w:rFonts w:ascii="Titillium" w:hAnsi="Titillium" w:cs="Arial"/>
          <w:sz w:val="20"/>
          <w:szCs w:val="20"/>
        </w:rPr>
        <w:t xml:space="preserve"> EUR</w:t>
      </w:r>
    </w:p>
    <w:p w:rsidR="003C69CA" w:rsidRPr="00B60020" w:rsidRDefault="003C69CA" w:rsidP="00A910E6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tillium" w:hAnsi="Titillium" w:cs="Arial"/>
          <w:b/>
          <w:sz w:val="20"/>
          <w:szCs w:val="20"/>
        </w:rPr>
      </w:pPr>
      <w:r w:rsidRPr="00B60020">
        <w:rPr>
          <w:rFonts w:ascii="Titillium" w:hAnsi="Titillium" w:cs="Arial"/>
          <w:sz w:val="20"/>
          <w:szCs w:val="20"/>
        </w:rPr>
        <w:t>P</w:t>
      </w:r>
      <w:r w:rsidR="00A67BB3" w:rsidRPr="00B60020">
        <w:rPr>
          <w:rFonts w:ascii="Titillium" w:hAnsi="Titillium" w:cs="Arial"/>
          <w:sz w:val="20"/>
          <w:szCs w:val="20"/>
        </w:rPr>
        <w:t>rijenosi između proračunskih korisnika istog proračuna</w:t>
      </w:r>
      <w:r w:rsidRPr="00B60020">
        <w:rPr>
          <w:rFonts w:ascii="Titillium" w:hAnsi="Titillium" w:cs="Arial"/>
          <w:sz w:val="20"/>
          <w:szCs w:val="20"/>
        </w:rPr>
        <w:t xml:space="preserve"> (</w:t>
      </w:r>
      <w:r w:rsidR="00A5761C" w:rsidRPr="00B60020">
        <w:rPr>
          <w:rFonts w:ascii="Titillium" w:hAnsi="Titillium" w:cs="Arial"/>
          <w:sz w:val="20"/>
          <w:szCs w:val="20"/>
        </w:rPr>
        <w:t>639</w:t>
      </w:r>
      <w:r w:rsidRPr="00B60020">
        <w:rPr>
          <w:rFonts w:ascii="Titillium" w:hAnsi="Titillium" w:cs="Arial"/>
          <w:sz w:val="20"/>
          <w:szCs w:val="20"/>
        </w:rPr>
        <w:t xml:space="preserve">) </w:t>
      </w:r>
      <w:r w:rsidR="00D1110C">
        <w:rPr>
          <w:rFonts w:ascii="Titillium" w:hAnsi="Titillium" w:cs="Arial"/>
          <w:sz w:val="20"/>
          <w:szCs w:val="20"/>
        </w:rPr>
        <w:t>475.517,15</w:t>
      </w:r>
      <w:r w:rsidR="00536FF6">
        <w:rPr>
          <w:rFonts w:ascii="Titillium" w:hAnsi="Titillium" w:cs="Arial"/>
          <w:sz w:val="20"/>
          <w:szCs w:val="20"/>
        </w:rPr>
        <w:t xml:space="preserve"> EUR</w:t>
      </w:r>
    </w:p>
    <w:p w:rsidR="00F85BA7" w:rsidRPr="00B60020" w:rsidRDefault="00F85BA7" w:rsidP="00A910E6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tillium" w:hAnsi="Titillium" w:cs="Arial"/>
          <w:b/>
          <w:sz w:val="20"/>
          <w:szCs w:val="20"/>
        </w:rPr>
      </w:pPr>
      <w:r w:rsidRPr="00B60020">
        <w:rPr>
          <w:rFonts w:ascii="Titillium" w:hAnsi="Titillium" w:cs="Arial"/>
          <w:sz w:val="20"/>
          <w:szCs w:val="20"/>
        </w:rPr>
        <w:t>Prihodi od financijske imovine (</w:t>
      </w:r>
      <w:r w:rsidR="00A5761C" w:rsidRPr="00B60020">
        <w:rPr>
          <w:rFonts w:ascii="Titillium" w:hAnsi="Titillium" w:cs="Arial"/>
          <w:sz w:val="20"/>
          <w:szCs w:val="20"/>
        </w:rPr>
        <w:t>641</w:t>
      </w:r>
      <w:r w:rsidRPr="00B60020">
        <w:rPr>
          <w:rFonts w:ascii="Titillium" w:hAnsi="Titillium" w:cs="Arial"/>
          <w:sz w:val="20"/>
          <w:szCs w:val="20"/>
        </w:rPr>
        <w:t xml:space="preserve">) </w:t>
      </w:r>
      <w:r w:rsidR="00D1110C">
        <w:rPr>
          <w:rFonts w:ascii="Titillium" w:hAnsi="Titillium" w:cs="Arial"/>
          <w:sz w:val="20"/>
          <w:szCs w:val="20"/>
        </w:rPr>
        <w:t>20.265,86</w:t>
      </w:r>
      <w:r w:rsidR="00536FF6">
        <w:rPr>
          <w:rFonts w:ascii="Titillium" w:hAnsi="Titillium" w:cs="Arial"/>
          <w:sz w:val="20"/>
          <w:szCs w:val="20"/>
        </w:rPr>
        <w:t xml:space="preserve"> EUR</w:t>
      </w:r>
    </w:p>
    <w:p w:rsidR="00F85BA7" w:rsidRPr="00B60020" w:rsidRDefault="00F85BA7" w:rsidP="00A910E6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tillium" w:hAnsi="Titillium" w:cs="Arial"/>
          <w:b/>
          <w:sz w:val="20"/>
          <w:szCs w:val="20"/>
        </w:rPr>
      </w:pPr>
      <w:r w:rsidRPr="00B60020">
        <w:rPr>
          <w:rFonts w:ascii="Titillium" w:hAnsi="Titillium" w:cs="Arial"/>
          <w:sz w:val="20"/>
          <w:szCs w:val="20"/>
        </w:rPr>
        <w:t>Prihodi po posebnim propisima (</w:t>
      </w:r>
      <w:r w:rsidR="00B00D36" w:rsidRPr="00B60020">
        <w:rPr>
          <w:rFonts w:ascii="Titillium" w:hAnsi="Titillium" w:cs="Arial"/>
          <w:sz w:val="20"/>
          <w:szCs w:val="20"/>
        </w:rPr>
        <w:t>652</w:t>
      </w:r>
      <w:r w:rsidRPr="00B60020">
        <w:rPr>
          <w:rFonts w:ascii="Titillium" w:hAnsi="Titillium" w:cs="Arial"/>
          <w:sz w:val="20"/>
          <w:szCs w:val="20"/>
        </w:rPr>
        <w:t xml:space="preserve">) </w:t>
      </w:r>
      <w:r w:rsidR="00CC357A">
        <w:rPr>
          <w:rFonts w:ascii="Titillium" w:hAnsi="Titillium" w:cs="Arial"/>
          <w:sz w:val="20"/>
          <w:szCs w:val="20"/>
        </w:rPr>
        <w:t>2</w:t>
      </w:r>
      <w:r w:rsidR="00466679">
        <w:rPr>
          <w:rFonts w:ascii="Titillium" w:hAnsi="Titillium" w:cs="Arial"/>
          <w:sz w:val="20"/>
          <w:szCs w:val="20"/>
        </w:rPr>
        <w:t>.</w:t>
      </w:r>
      <w:r w:rsidR="00D1110C">
        <w:rPr>
          <w:rFonts w:ascii="Titillium" w:hAnsi="Titillium" w:cs="Arial"/>
          <w:sz w:val="20"/>
          <w:szCs w:val="20"/>
        </w:rPr>
        <w:t>680,90</w:t>
      </w:r>
      <w:r w:rsidR="0040205F" w:rsidRPr="00B60020">
        <w:rPr>
          <w:rFonts w:ascii="Titillium" w:hAnsi="Titillium" w:cs="Arial"/>
          <w:sz w:val="20"/>
          <w:szCs w:val="20"/>
        </w:rPr>
        <w:t xml:space="preserve"> EUR</w:t>
      </w:r>
    </w:p>
    <w:p w:rsidR="00F85BA7" w:rsidRPr="00536FF6" w:rsidRDefault="00F85BA7" w:rsidP="00A910E6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tillium" w:hAnsi="Titillium" w:cs="Arial"/>
          <w:b/>
          <w:sz w:val="20"/>
          <w:szCs w:val="20"/>
        </w:rPr>
      </w:pPr>
      <w:r w:rsidRPr="00B60020">
        <w:rPr>
          <w:rFonts w:ascii="Titillium" w:hAnsi="Titillium" w:cs="Arial"/>
          <w:sz w:val="20"/>
          <w:szCs w:val="20"/>
        </w:rPr>
        <w:t>Prihodi od pruženih usluga (</w:t>
      </w:r>
      <w:r w:rsidR="00B00D36" w:rsidRPr="00B60020">
        <w:rPr>
          <w:rFonts w:ascii="Titillium" w:hAnsi="Titillium" w:cs="Arial"/>
          <w:sz w:val="20"/>
          <w:szCs w:val="20"/>
        </w:rPr>
        <w:t>661</w:t>
      </w:r>
      <w:r w:rsidRPr="00B60020">
        <w:rPr>
          <w:rFonts w:ascii="Titillium" w:hAnsi="Titillium" w:cs="Arial"/>
          <w:sz w:val="20"/>
          <w:szCs w:val="20"/>
        </w:rPr>
        <w:t xml:space="preserve">) </w:t>
      </w:r>
      <w:r w:rsidR="00466679">
        <w:rPr>
          <w:rFonts w:ascii="Titillium" w:hAnsi="Titillium" w:cs="Arial"/>
          <w:sz w:val="20"/>
          <w:szCs w:val="20"/>
        </w:rPr>
        <w:t>1.</w:t>
      </w:r>
      <w:r w:rsidR="00D1110C">
        <w:rPr>
          <w:rFonts w:ascii="Titillium" w:hAnsi="Titillium" w:cs="Arial"/>
          <w:sz w:val="20"/>
          <w:szCs w:val="20"/>
        </w:rPr>
        <w:t>929.366,32</w:t>
      </w:r>
      <w:r w:rsidR="0040205F" w:rsidRPr="00B60020">
        <w:rPr>
          <w:rFonts w:ascii="Titillium" w:hAnsi="Titillium" w:cs="Arial"/>
          <w:sz w:val="20"/>
          <w:szCs w:val="20"/>
        </w:rPr>
        <w:t xml:space="preserve"> EUR</w:t>
      </w:r>
    </w:p>
    <w:p w:rsidR="00536FF6" w:rsidRPr="00536FF6" w:rsidRDefault="00536FF6" w:rsidP="00A910E6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tillium" w:hAnsi="Titillium" w:cs="Arial"/>
          <w:sz w:val="20"/>
          <w:szCs w:val="20"/>
        </w:rPr>
      </w:pPr>
      <w:r w:rsidRPr="00536FF6">
        <w:rPr>
          <w:rFonts w:ascii="Titillium" w:hAnsi="Titillium" w:cs="Arial"/>
          <w:sz w:val="20"/>
          <w:szCs w:val="20"/>
        </w:rPr>
        <w:t>Donacije izvan općeg proračuna</w:t>
      </w:r>
      <w:r>
        <w:rPr>
          <w:rFonts w:ascii="Titillium" w:hAnsi="Titillium" w:cs="Arial"/>
          <w:sz w:val="20"/>
          <w:szCs w:val="20"/>
        </w:rPr>
        <w:t xml:space="preserve"> (663)</w:t>
      </w:r>
      <w:r w:rsidR="00466679">
        <w:rPr>
          <w:rFonts w:ascii="Titillium" w:hAnsi="Titillium" w:cs="Arial"/>
          <w:sz w:val="20"/>
          <w:szCs w:val="20"/>
        </w:rPr>
        <w:t xml:space="preserve"> 139.219,99 EUR</w:t>
      </w:r>
    </w:p>
    <w:p w:rsidR="00F85BA7" w:rsidRPr="00B60020" w:rsidRDefault="00F85BA7" w:rsidP="00A910E6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tillium" w:hAnsi="Titillium" w:cs="Arial"/>
          <w:sz w:val="20"/>
          <w:szCs w:val="20"/>
        </w:rPr>
      </w:pPr>
      <w:r w:rsidRPr="00B60020">
        <w:rPr>
          <w:rFonts w:ascii="Titillium" w:hAnsi="Titillium" w:cs="Arial"/>
          <w:sz w:val="20"/>
          <w:szCs w:val="20"/>
        </w:rPr>
        <w:t>Prihodi iz nadležnog proračuna (</w:t>
      </w:r>
      <w:r w:rsidR="003646A7" w:rsidRPr="00B60020">
        <w:rPr>
          <w:rFonts w:ascii="Titillium" w:hAnsi="Titillium" w:cs="Arial"/>
          <w:sz w:val="20"/>
          <w:szCs w:val="20"/>
        </w:rPr>
        <w:t>671</w:t>
      </w:r>
      <w:r w:rsidRPr="00B60020">
        <w:rPr>
          <w:rFonts w:ascii="Titillium" w:hAnsi="Titillium" w:cs="Arial"/>
          <w:sz w:val="20"/>
          <w:szCs w:val="20"/>
        </w:rPr>
        <w:t xml:space="preserve">) </w:t>
      </w:r>
      <w:r w:rsidR="00991E6B">
        <w:rPr>
          <w:rFonts w:ascii="Titillium" w:hAnsi="Titillium" w:cs="Arial"/>
          <w:sz w:val="20"/>
          <w:szCs w:val="20"/>
        </w:rPr>
        <w:t>8.930.186,17</w:t>
      </w:r>
      <w:r w:rsidR="00846354" w:rsidRPr="00B60020">
        <w:rPr>
          <w:rFonts w:ascii="Titillium" w:hAnsi="Titillium" w:cs="Arial"/>
          <w:sz w:val="20"/>
          <w:szCs w:val="20"/>
        </w:rPr>
        <w:t xml:space="preserve"> EUR</w:t>
      </w:r>
    </w:p>
    <w:p w:rsidR="00827B31" w:rsidRPr="00B60020" w:rsidRDefault="00827B31" w:rsidP="00A910E6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tillium" w:hAnsi="Titillium" w:cs="Arial"/>
          <w:sz w:val="20"/>
          <w:szCs w:val="20"/>
        </w:rPr>
      </w:pPr>
      <w:r w:rsidRPr="00B60020">
        <w:rPr>
          <w:rFonts w:ascii="Titillium" w:hAnsi="Titillium" w:cs="Arial"/>
          <w:sz w:val="20"/>
          <w:szCs w:val="20"/>
        </w:rPr>
        <w:t xml:space="preserve">Ostali prihodi (683) </w:t>
      </w:r>
      <w:r w:rsidR="00466679">
        <w:rPr>
          <w:rFonts w:ascii="Titillium" w:hAnsi="Titillium" w:cs="Arial"/>
          <w:sz w:val="20"/>
          <w:szCs w:val="20"/>
        </w:rPr>
        <w:t>42</w:t>
      </w:r>
      <w:r w:rsidR="00991E6B">
        <w:rPr>
          <w:rFonts w:ascii="Titillium" w:hAnsi="Titillium" w:cs="Arial"/>
          <w:sz w:val="20"/>
          <w:szCs w:val="20"/>
        </w:rPr>
        <w:t>07,91</w:t>
      </w:r>
      <w:r w:rsidRPr="00B60020">
        <w:rPr>
          <w:rFonts w:ascii="Titillium" w:hAnsi="Titillium" w:cs="Arial"/>
          <w:sz w:val="20"/>
          <w:szCs w:val="20"/>
        </w:rPr>
        <w:t xml:space="preserve"> EUR</w:t>
      </w:r>
    </w:p>
    <w:p w:rsidR="004C722C" w:rsidRPr="00E54964" w:rsidRDefault="00BF5399" w:rsidP="00E549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st1"/>
          <w:rFonts w:ascii="Titillium" w:hAnsi="Titillium" w:cs="Arial"/>
          <w:sz w:val="20"/>
          <w:szCs w:val="20"/>
        </w:rPr>
      </w:pPr>
      <w:r w:rsidRPr="00E54964">
        <w:rPr>
          <w:rFonts w:ascii="Titillium" w:hAnsi="Titillium" w:cs="Arial"/>
          <w:sz w:val="20"/>
          <w:szCs w:val="20"/>
        </w:rPr>
        <w:t>Na račun</w:t>
      </w:r>
      <w:r w:rsidR="00C71525" w:rsidRPr="00E54964">
        <w:rPr>
          <w:rFonts w:ascii="Titillium" w:hAnsi="Titillium" w:cs="Arial"/>
          <w:sz w:val="20"/>
          <w:szCs w:val="20"/>
        </w:rPr>
        <w:t>u</w:t>
      </w:r>
      <w:r w:rsidRPr="00E54964">
        <w:rPr>
          <w:rFonts w:ascii="Titillium" w:hAnsi="Titillium" w:cs="Arial"/>
          <w:sz w:val="20"/>
          <w:szCs w:val="20"/>
        </w:rPr>
        <w:t xml:space="preserve"> 6321 – Tekuće pomoći od međunarodnih organizacija </w:t>
      </w:r>
      <w:r w:rsidR="00C71525" w:rsidRPr="00E54964">
        <w:rPr>
          <w:rFonts w:ascii="Titillium" w:hAnsi="Titillium" w:cs="Arial"/>
          <w:sz w:val="20"/>
          <w:szCs w:val="20"/>
        </w:rPr>
        <w:t xml:space="preserve">evidentirano je </w:t>
      </w:r>
      <w:r w:rsidR="001547B7">
        <w:rPr>
          <w:rFonts w:ascii="Titillium" w:hAnsi="Titillium" w:cs="Arial"/>
          <w:sz w:val="20"/>
          <w:szCs w:val="20"/>
        </w:rPr>
        <w:t>4</w:t>
      </w:r>
      <w:r w:rsidR="00991E6B">
        <w:rPr>
          <w:rFonts w:ascii="Titillium" w:hAnsi="Titillium" w:cs="Arial"/>
          <w:sz w:val="20"/>
          <w:szCs w:val="20"/>
        </w:rPr>
        <w:t>9.631,98</w:t>
      </w:r>
      <w:r w:rsidR="00C71525" w:rsidRPr="00E54964">
        <w:rPr>
          <w:rFonts w:ascii="Titillium" w:hAnsi="Titillium" w:cs="Arial"/>
          <w:sz w:val="20"/>
          <w:szCs w:val="20"/>
        </w:rPr>
        <w:t xml:space="preserve"> EUR</w:t>
      </w:r>
      <w:r w:rsidR="00795D5F">
        <w:rPr>
          <w:rFonts w:ascii="Titillium" w:hAnsi="Titillium" w:cs="Arial"/>
          <w:sz w:val="20"/>
          <w:szCs w:val="20"/>
        </w:rPr>
        <w:t xml:space="preserve"> (indeks </w:t>
      </w:r>
      <w:r w:rsidR="00991E6B">
        <w:rPr>
          <w:rFonts w:ascii="Titillium" w:hAnsi="Titillium" w:cs="Arial"/>
          <w:sz w:val="20"/>
          <w:szCs w:val="20"/>
        </w:rPr>
        <w:t>64,0</w:t>
      </w:r>
      <w:r w:rsidR="00795D5F">
        <w:rPr>
          <w:rFonts w:ascii="Titillium" w:hAnsi="Titillium" w:cs="Arial"/>
          <w:sz w:val="20"/>
          <w:szCs w:val="20"/>
        </w:rPr>
        <w:t xml:space="preserve">). </w:t>
      </w:r>
      <w:r w:rsidR="00E54964" w:rsidRPr="00E54964">
        <w:rPr>
          <w:rStyle w:val="st1"/>
          <w:rFonts w:ascii="Titillium" w:hAnsi="Titillium" w:cs="Arial"/>
          <w:sz w:val="20"/>
          <w:szCs w:val="20"/>
        </w:rPr>
        <w:t xml:space="preserve">Iznos od </w:t>
      </w:r>
      <w:r w:rsidR="00E54964">
        <w:rPr>
          <w:rStyle w:val="st1"/>
          <w:rFonts w:ascii="Titillium" w:hAnsi="Titillium" w:cs="Arial"/>
          <w:sz w:val="20"/>
          <w:szCs w:val="20"/>
        </w:rPr>
        <w:t xml:space="preserve">41.856,98 EUR </w:t>
      </w:r>
      <w:r w:rsidR="00C71525" w:rsidRPr="00E54964">
        <w:rPr>
          <w:rStyle w:val="st1"/>
          <w:rFonts w:ascii="Titillium" w:hAnsi="Titillium" w:cs="Arial"/>
          <w:sz w:val="20"/>
          <w:szCs w:val="20"/>
        </w:rPr>
        <w:t xml:space="preserve">Institutu </w:t>
      </w:r>
      <w:r w:rsidR="00E54964">
        <w:rPr>
          <w:rStyle w:val="st1"/>
          <w:rFonts w:ascii="Titillium" w:hAnsi="Titillium" w:cs="Arial"/>
          <w:sz w:val="20"/>
          <w:szCs w:val="20"/>
        </w:rPr>
        <w:t xml:space="preserve">je </w:t>
      </w:r>
      <w:r w:rsidR="00C71525" w:rsidRPr="00E54964">
        <w:rPr>
          <w:rStyle w:val="st1"/>
          <w:rFonts w:ascii="Titillium" w:hAnsi="Titillium" w:cs="Arial"/>
          <w:sz w:val="20"/>
          <w:szCs w:val="20"/>
        </w:rPr>
        <w:t xml:space="preserve">doznačio University </w:t>
      </w:r>
      <w:proofErr w:type="spellStart"/>
      <w:r w:rsidR="00C71525" w:rsidRPr="00E54964">
        <w:rPr>
          <w:rStyle w:val="st1"/>
          <w:rFonts w:ascii="Titillium" w:hAnsi="Titillium" w:cs="Arial"/>
          <w:sz w:val="20"/>
          <w:szCs w:val="20"/>
        </w:rPr>
        <w:t>of</w:t>
      </w:r>
      <w:proofErr w:type="spellEnd"/>
      <w:r w:rsidR="00C71525" w:rsidRPr="00E54964">
        <w:rPr>
          <w:rStyle w:val="st1"/>
          <w:rFonts w:ascii="Titillium" w:hAnsi="Titillium" w:cs="Arial"/>
          <w:sz w:val="20"/>
          <w:szCs w:val="20"/>
        </w:rPr>
        <w:t xml:space="preserve"> </w:t>
      </w:r>
      <w:proofErr w:type="spellStart"/>
      <w:r w:rsidR="00C71525" w:rsidRPr="00E54964">
        <w:rPr>
          <w:rStyle w:val="st1"/>
          <w:rFonts w:ascii="Titillium" w:hAnsi="Titillium" w:cs="Arial"/>
          <w:sz w:val="20"/>
          <w:szCs w:val="20"/>
        </w:rPr>
        <w:t>California</w:t>
      </w:r>
      <w:proofErr w:type="spellEnd"/>
      <w:r w:rsidR="00C71525" w:rsidRPr="00E54964">
        <w:rPr>
          <w:rStyle w:val="st1"/>
          <w:rFonts w:ascii="Titillium" w:hAnsi="Titillium" w:cs="Arial"/>
          <w:sz w:val="20"/>
          <w:szCs w:val="20"/>
        </w:rPr>
        <w:t xml:space="preserve">, San Diego za rad na projektu </w:t>
      </w:r>
      <w:r w:rsidR="00C71525" w:rsidRPr="00E54964">
        <w:rPr>
          <w:rStyle w:val="st1"/>
          <w:rFonts w:ascii="Titillium" w:hAnsi="Titillium" w:cs="Arial"/>
          <w:i/>
          <w:sz w:val="20"/>
          <w:szCs w:val="20"/>
        </w:rPr>
        <w:t xml:space="preserve">In Vivo </w:t>
      </w:r>
      <w:proofErr w:type="spellStart"/>
      <w:r w:rsidR="00C71525" w:rsidRPr="00E54964">
        <w:rPr>
          <w:rStyle w:val="st1"/>
          <w:rFonts w:ascii="Titillium" w:hAnsi="Titillium" w:cs="Arial"/>
          <w:i/>
          <w:sz w:val="20"/>
          <w:szCs w:val="20"/>
        </w:rPr>
        <w:t>Efficacy</w:t>
      </w:r>
      <w:proofErr w:type="spellEnd"/>
      <w:r w:rsidR="00C71525" w:rsidRPr="00E54964">
        <w:rPr>
          <w:rStyle w:val="st1"/>
          <w:rFonts w:ascii="Titillium" w:hAnsi="Titillium" w:cs="Arial"/>
          <w:i/>
          <w:sz w:val="20"/>
          <w:szCs w:val="20"/>
        </w:rPr>
        <w:t xml:space="preserve"> </w:t>
      </w:r>
      <w:proofErr w:type="spellStart"/>
      <w:r w:rsidR="00C71525" w:rsidRPr="00E54964">
        <w:rPr>
          <w:rStyle w:val="st1"/>
          <w:rFonts w:ascii="Titillium" w:hAnsi="Titillium" w:cs="Arial"/>
          <w:i/>
          <w:sz w:val="20"/>
          <w:szCs w:val="20"/>
        </w:rPr>
        <w:t>of</w:t>
      </w:r>
      <w:proofErr w:type="spellEnd"/>
      <w:r w:rsidR="00C71525" w:rsidRPr="00E54964">
        <w:rPr>
          <w:rStyle w:val="st1"/>
          <w:rFonts w:ascii="Titillium" w:hAnsi="Titillium" w:cs="Arial"/>
          <w:i/>
          <w:sz w:val="20"/>
          <w:szCs w:val="20"/>
        </w:rPr>
        <w:t xml:space="preserve"> </w:t>
      </w:r>
      <w:proofErr w:type="spellStart"/>
      <w:r w:rsidR="00C71525" w:rsidRPr="00E54964">
        <w:rPr>
          <w:rStyle w:val="st1"/>
          <w:rFonts w:ascii="Titillium" w:hAnsi="Titillium" w:cs="Arial"/>
          <w:i/>
          <w:sz w:val="20"/>
          <w:szCs w:val="20"/>
        </w:rPr>
        <w:t>Novel</w:t>
      </w:r>
      <w:proofErr w:type="spellEnd"/>
      <w:r w:rsidR="00C71525" w:rsidRPr="00E54964">
        <w:rPr>
          <w:rStyle w:val="st1"/>
          <w:rFonts w:ascii="Titillium" w:hAnsi="Titillium" w:cs="Arial"/>
          <w:i/>
          <w:sz w:val="20"/>
          <w:szCs w:val="20"/>
        </w:rPr>
        <w:t xml:space="preserve"> </w:t>
      </w:r>
      <w:proofErr w:type="spellStart"/>
      <w:r w:rsidR="00C71525" w:rsidRPr="00E54964">
        <w:rPr>
          <w:rStyle w:val="st1"/>
          <w:rFonts w:ascii="Titillium" w:hAnsi="Titillium" w:cs="Arial"/>
          <w:i/>
          <w:sz w:val="20"/>
          <w:szCs w:val="20"/>
        </w:rPr>
        <w:t>Uncharged</w:t>
      </w:r>
      <w:proofErr w:type="spellEnd"/>
      <w:r w:rsidR="00C71525" w:rsidRPr="00E54964">
        <w:rPr>
          <w:rStyle w:val="st1"/>
          <w:rFonts w:ascii="Titillium" w:hAnsi="Titillium" w:cs="Arial"/>
          <w:i/>
          <w:sz w:val="20"/>
          <w:szCs w:val="20"/>
        </w:rPr>
        <w:t xml:space="preserve"> Bis-</w:t>
      </w:r>
      <w:proofErr w:type="spellStart"/>
      <w:r w:rsidR="00C71525" w:rsidRPr="00E54964">
        <w:rPr>
          <w:rStyle w:val="st1"/>
          <w:rFonts w:ascii="Titillium" w:hAnsi="Titillium" w:cs="Arial"/>
          <w:i/>
          <w:sz w:val="20"/>
          <w:szCs w:val="20"/>
        </w:rPr>
        <w:t>Oximes</w:t>
      </w:r>
      <w:proofErr w:type="spellEnd"/>
      <w:r w:rsidR="00C71525" w:rsidRPr="00E54964">
        <w:rPr>
          <w:rStyle w:val="st1"/>
          <w:rFonts w:ascii="Titillium" w:hAnsi="Titillium" w:cs="Arial"/>
          <w:i/>
          <w:sz w:val="20"/>
          <w:szCs w:val="20"/>
        </w:rPr>
        <w:t xml:space="preserve"> </w:t>
      </w:r>
      <w:proofErr w:type="spellStart"/>
      <w:r w:rsidR="00C71525" w:rsidRPr="00E54964">
        <w:rPr>
          <w:rStyle w:val="st1"/>
          <w:rFonts w:ascii="Titillium" w:hAnsi="Titillium" w:cs="Arial"/>
          <w:i/>
          <w:sz w:val="20"/>
          <w:szCs w:val="20"/>
        </w:rPr>
        <w:t>in</w:t>
      </w:r>
      <w:proofErr w:type="spellEnd"/>
      <w:r w:rsidR="00C71525" w:rsidRPr="00E54964">
        <w:rPr>
          <w:rStyle w:val="st1"/>
          <w:rFonts w:ascii="Titillium" w:hAnsi="Titillium" w:cs="Arial"/>
          <w:i/>
          <w:sz w:val="20"/>
          <w:szCs w:val="20"/>
        </w:rPr>
        <w:t xml:space="preserve"> OP </w:t>
      </w:r>
      <w:proofErr w:type="spellStart"/>
      <w:r w:rsidR="00C71525" w:rsidRPr="00E54964">
        <w:rPr>
          <w:rStyle w:val="st1"/>
          <w:rFonts w:ascii="Titillium" w:hAnsi="Titillium" w:cs="Arial"/>
          <w:i/>
          <w:sz w:val="20"/>
          <w:szCs w:val="20"/>
        </w:rPr>
        <w:t>Poisoning</w:t>
      </w:r>
      <w:proofErr w:type="spellEnd"/>
      <w:r w:rsidR="00C71525" w:rsidRPr="00E54964">
        <w:rPr>
          <w:rStyle w:val="st1"/>
          <w:rFonts w:ascii="Titillium" w:hAnsi="Titillium" w:cs="Arial"/>
          <w:i/>
          <w:sz w:val="20"/>
          <w:szCs w:val="20"/>
        </w:rPr>
        <w:t xml:space="preserve"> </w:t>
      </w:r>
      <w:proofErr w:type="spellStart"/>
      <w:r w:rsidR="00C71525" w:rsidRPr="00E54964">
        <w:rPr>
          <w:rStyle w:val="st1"/>
          <w:rFonts w:ascii="Titillium" w:hAnsi="Titillium" w:cs="Arial"/>
          <w:i/>
          <w:sz w:val="20"/>
          <w:szCs w:val="20"/>
        </w:rPr>
        <w:t>Treatment</w:t>
      </w:r>
      <w:proofErr w:type="spellEnd"/>
      <w:r w:rsidR="00C71525" w:rsidRPr="00E54964">
        <w:rPr>
          <w:rStyle w:val="st1"/>
          <w:rFonts w:ascii="Titillium" w:hAnsi="Titillium" w:cs="Arial"/>
          <w:sz w:val="20"/>
          <w:szCs w:val="20"/>
        </w:rPr>
        <w:t xml:space="preserve"> koji financira National </w:t>
      </w:r>
      <w:proofErr w:type="spellStart"/>
      <w:r w:rsidR="00C71525" w:rsidRPr="00E54964">
        <w:rPr>
          <w:rStyle w:val="st1"/>
          <w:rFonts w:ascii="Titillium" w:hAnsi="Titillium" w:cs="Arial"/>
          <w:sz w:val="20"/>
          <w:szCs w:val="20"/>
        </w:rPr>
        <w:t>Institutes</w:t>
      </w:r>
      <w:proofErr w:type="spellEnd"/>
      <w:r w:rsidR="00C71525" w:rsidRPr="00E54964">
        <w:rPr>
          <w:rStyle w:val="st1"/>
          <w:rFonts w:ascii="Titillium" w:hAnsi="Titillium" w:cs="Arial"/>
          <w:sz w:val="20"/>
          <w:szCs w:val="20"/>
        </w:rPr>
        <w:t xml:space="preserve"> </w:t>
      </w:r>
      <w:proofErr w:type="spellStart"/>
      <w:r w:rsidR="00C71525" w:rsidRPr="00E54964">
        <w:rPr>
          <w:rStyle w:val="st1"/>
          <w:rFonts w:ascii="Titillium" w:hAnsi="Titillium" w:cs="Arial"/>
          <w:sz w:val="20"/>
          <w:szCs w:val="20"/>
        </w:rPr>
        <w:t>of</w:t>
      </w:r>
      <w:proofErr w:type="spellEnd"/>
      <w:r w:rsidR="00C71525" w:rsidRPr="00E54964">
        <w:rPr>
          <w:rStyle w:val="st1"/>
          <w:rFonts w:ascii="Titillium" w:hAnsi="Titillium" w:cs="Arial"/>
          <w:sz w:val="20"/>
          <w:szCs w:val="20"/>
        </w:rPr>
        <w:t xml:space="preserve"> Health (NIH), SAD. </w:t>
      </w:r>
      <w:r w:rsidR="00A6383B">
        <w:rPr>
          <w:rStyle w:val="st1"/>
          <w:rFonts w:ascii="Titillium" w:hAnsi="Titillium" w:cs="Arial"/>
          <w:sz w:val="20"/>
          <w:szCs w:val="20"/>
        </w:rPr>
        <w:t>Iznos je manji od prošl</w:t>
      </w:r>
      <w:r w:rsidR="00CE391F">
        <w:rPr>
          <w:rStyle w:val="st1"/>
          <w:rFonts w:ascii="Titillium" w:hAnsi="Titillium" w:cs="Arial"/>
          <w:sz w:val="20"/>
          <w:szCs w:val="20"/>
        </w:rPr>
        <w:t>o</w:t>
      </w:r>
      <w:r w:rsidR="00A6383B">
        <w:rPr>
          <w:rStyle w:val="st1"/>
          <w:rFonts w:ascii="Titillium" w:hAnsi="Titillium" w:cs="Arial"/>
          <w:sz w:val="20"/>
          <w:szCs w:val="20"/>
        </w:rPr>
        <w:t xml:space="preserve">godišnjeg jer je </w:t>
      </w:r>
      <w:r w:rsidR="00CE391F">
        <w:rPr>
          <w:rStyle w:val="st1"/>
          <w:rFonts w:ascii="Titillium" w:hAnsi="Titillium" w:cs="Arial"/>
          <w:sz w:val="20"/>
          <w:szCs w:val="20"/>
        </w:rPr>
        <w:t>p</w:t>
      </w:r>
      <w:r w:rsidR="002E7DED">
        <w:rPr>
          <w:rStyle w:val="st1"/>
          <w:rFonts w:ascii="Titillium" w:hAnsi="Titillium" w:cs="Arial"/>
          <w:sz w:val="20"/>
          <w:szCs w:val="20"/>
        </w:rPr>
        <w:t>rethodne godine z</w:t>
      </w:r>
      <w:r w:rsidR="00CE391F">
        <w:rPr>
          <w:rStyle w:val="st1"/>
          <w:rFonts w:ascii="Titillium" w:hAnsi="Titillium" w:cs="Arial"/>
          <w:sz w:val="20"/>
          <w:szCs w:val="20"/>
        </w:rPr>
        <w:t>bog dinamike provedbe z</w:t>
      </w:r>
      <w:r w:rsidR="002E7DED">
        <w:rPr>
          <w:rStyle w:val="st1"/>
          <w:rFonts w:ascii="Titillium" w:hAnsi="Titillium" w:cs="Arial"/>
          <w:sz w:val="20"/>
          <w:szCs w:val="20"/>
        </w:rPr>
        <w:t>a navedeni projekt doznačen</w:t>
      </w:r>
      <w:r w:rsidR="00CE391F">
        <w:rPr>
          <w:rStyle w:val="st1"/>
          <w:rFonts w:ascii="Titillium" w:hAnsi="Titillium" w:cs="Arial"/>
          <w:sz w:val="20"/>
          <w:szCs w:val="20"/>
        </w:rPr>
        <w:t xml:space="preserve"> veći dio ugovorenih sredstava.</w:t>
      </w:r>
      <w:r w:rsidR="002E7DED">
        <w:rPr>
          <w:rStyle w:val="st1"/>
          <w:rFonts w:ascii="Titillium" w:hAnsi="Titillium" w:cs="Arial"/>
          <w:sz w:val="20"/>
          <w:szCs w:val="20"/>
        </w:rPr>
        <w:t xml:space="preserve"> </w:t>
      </w:r>
      <w:r w:rsidR="00E54964">
        <w:rPr>
          <w:rStyle w:val="st1"/>
          <w:rFonts w:ascii="Titillium" w:hAnsi="Titillium" w:cs="Arial"/>
          <w:sz w:val="20"/>
          <w:szCs w:val="20"/>
        </w:rPr>
        <w:t xml:space="preserve">Ostatak od </w:t>
      </w:r>
      <w:r w:rsidR="00991E6B">
        <w:rPr>
          <w:rStyle w:val="st1"/>
          <w:rFonts w:ascii="Titillium" w:hAnsi="Titillium" w:cs="Arial"/>
          <w:sz w:val="20"/>
          <w:szCs w:val="20"/>
        </w:rPr>
        <w:t>7</w:t>
      </w:r>
      <w:r w:rsidR="00E54964">
        <w:rPr>
          <w:rStyle w:val="st1"/>
          <w:rFonts w:ascii="Titillium" w:hAnsi="Titillium" w:cs="Arial"/>
          <w:sz w:val="20"/>
          <w:szCs w:val="20"/>
        </w:rPr>
        <w:t>.</w:t>
      </w:r>
      <w:r w:rsidR="00991E6B">
        <w:rPr>
          <w:rStyle w:val="st1"/>
          <w:rFonts w:ascii="Titillium" w:hAnsi="Titillium" w:cs="Arial"/>
          <w:sz w:val="20"/>
          <w:szCs w:val="20"/>
        </w:rPr>
        <w:t>775</w:t>
      </w:r>
      <w:r w:rsidR="00E54964">
        <w:rPr>
          <w:rStyle w:val="st1"/>
          <w:rFonts w:ascii="Titillium" w:hAnsi="Titillium" w:cs="Arial"/>
          <w:sz w:val="20"/>
          <w:szCs w:val="20"/>
        </w:rPr>
        <w:t xml:space="preserve">,50 EUR doznačen je od </w:t>
      </w:r>
      <w:r w:rsidR="00E54964" w:rsidRPr="0014264E">
        <w:rPr>
          <w:rFonts w:ascii="Titillium" w:hAnsi="Titillium" w:cs="Arial"/>
          <w:sz w:val="20"/>
          <w:szCs w:val="20"/>
        </w:rPr>
        <w:t xml:space="preserve">European </w:t>
      </w:r>
      <w:proofErr w:type="spellStart"/>
      <w:r w:rsidR="00E54964" w:rsidRPr="0014264E">
        <w:rPr>
          <w:rFonts w:ascii="Titillium" w:hAnsi="Titillium" w:cs="Arial"/>
          <w:sz w:val="20"/>
          <w:szCs w:val="20"/>
        </w:rPr>
        <w:t>Chemicals</w:t>
      </w:r>
      <w:proofErr w:type="spellEnd"/>
      <w:r w:rsidR="00E54964" w:rsidRPr="0014264E">
        <w:rPr>
          <w:rFonts w:ascii="Titillium" w:hAnsi="Titillium" w:cs="Arial"/>
          <w:sz w:val="20"/>
          <w:szCs w:val="20"/>
        </w:rPr>
        <w:t xml:space="preserve"> </w:t>
      </w:r>
      <w:proofErr w:type="spellStart"/>
      <w:r w:rsidR="00E54964" w:rsidRPr="0014264E">
        <w:rPr>
          <w:rFonts w:ascii="Titillium" w:hAnsi="Titillium" w:cs="Arial"/>
          <w:sz w:val="20"/>
          <w:szCs w:val="20"/>
        </w:rPr>
        <w:t>Agency</w:t>
      </w:r>
      <w:proofErr w:type="spellEnd"/>
      <w:r w:rsidR="00E54964" w:rsidRPr="0014264E">
        <w:rPr>
          <w:rFonts w:ascii="Titillium" w:hAnsi="Titillium" w:cs="Arial"/>
          <w:sz w:val="20"/>
          <w:szCs w:val="20"/>
        </w:rPr>
        <w:t xml:space="preserve"> (ECHA)</w:t>
      </w:r>
      <w:r w:rsidR="00F431B7" w:rsidRPr="0014264E">
        <w:rPr>
          <w:rFonts w:ascii="Titillium" w:hAnsi="Titillium" w:cs="Arial"/>
          <w:sz w:val="20"/>
          <w:szCs w:val="20"/>
        </w:rPr>
        <w:t xml:space="preserve"> za rad na procjeni rizika </w:t>
      </w:r>
      <w:r w:rsidR="004B7ACB" w:rsidRPr="0014264E">
        <w:rPr>
          <w:rFonts w:ascii="Titillium" w:hAnsi="Titillium" w:cs="Arial"/>
          <w:sz w:val="20"/>
          <w:szCs w:val="20"/>
        </w:rPr>
        <w:t>i prijedlogu ograničenja korištenja</w:t>
      </w:r>
      <w:r w:rsidR="00F431B7" w:rsidRPr="0014264E">
        <w:rPr>
          <w:rFonts w:ascii="Titillium" w:hAnsi="Titillium" w:cs="Arial"/>
          <w:sz w:val="20"/>
          <w:szCs w:val="20"/>
        </w:rPr>
        <w:t xml:space="preserve"> pojedinih</w:t>
      </w:r>
      <w:r w:rsidR="004B7ACB" w:rsidRPr="0014264E">
        <w:rPr>
          <w:rFonts w:ascii="Titillium" w:hAnsi="Titillium" w:cs="Arial"/>
          <w:sz w:val="20"/>
          <w:szCs w:val="20"/>
        </w:rPr>
        <w:t xml:space="preserve"> </w:t>
      </w:r>
      <w:r w:rsidR="00F431B7" w:rsidRPr="0014264E">
        <w:rPr>
          <w:rFonts w:ascii="Titillium" w:hAnsi="Titillium" w:cs="Arial"/>
          <w:sz w:val="20"/>
          <w:szCs w:val="20"/>
        </w:rPr>
        <w:t>supstanci</w:t>
      </w:r>
      <w:r w:rsidR="00F431B7">
        <w:rPr>
          <w:rFonts w:ascii="Titillium" w:hAnsi="Titillium" w:cs="Arial"/>
        </w:rPr>
        <w:t>.</w:t>
      </w:r>
    </w:p>
    <w:p w:rsidR="00A67511" w:rsidRPr="00230147" w:rsidRDefault="0025096A" w:rsidP="00B41F76">
      <w:pPr>
        <w:pStyle w:val="Default"/>
        <w:jc w:val="both"/>
        <w:rPr>
          <w:rFonts w:ascii="Titillium" w:eastAsia="Arial" w:hAnsi="Titillium"/>
          <w:i/>
          <w:sz w:val="20"/>
          <w:szCs w:val="20"/>
          <w:lang w:val="en-GB"/>
        </w:rPr>
      </w:pPr>
      <w:r w:rsidRPr="00B60020">
        <w:rPr>
          <w:rFonts w:ascii="Titillium" w:hAnsi="Titillium"/>
          <w:sz w:val="20"/>
          <w:szCs w:val="20"/>
        </w:rPr>
        <w:t>Na računu 632</w:t>
      </w:r>
      <w:r w:rsidR="00846354" w:rsidRPr="00B60020">
        <w:rPr>
          <w:rFonts w:ascii="Titillium" w:hAnsi="Titillium"/>
          <w:sz w:val="20"/>
          <w:szCs w:val="20"/>
        </w:rPr>
        <w:t>3</w:t>
      </w:r>
      <w:r w:rsidRPr="00B60020">
        <w:rPr>
          <w:rFonts w:ascii="Titillium" w:hAnsi="Titillium"/>
          <w:sz w:val="20"/>
          <w:szCs w:val="20"/>
        </w:rPr>
        <w:t xml:space="preserve"> </w:t>
      </w:r>
      <w:r w:rsidR="00846354" w:rsidRPr="00B60020">
        <w:rPr>
          <w:rFonts w:ascii="Titillium" w:hAnsi="Titillium"/>
          <w:sz w:val="20"/>
          <w:szCs w:val="20"/>
        </w:rPr>
        <w:t>–</w:t>
      </w:r>
      <w:r w:rsidRPr="00B60020">
        <w:rPr>
          <w:rFonts w:ascii="Titillium" w:hAnsi="Titillium"/>
          <w:sz w:val="20"/>
          <w:szCs w:val="20"/>
        </w:rPr>
        <w:t xml:space="preserve"> </w:t>
      </w:r>
      <w:r w:rsidR="00846354" w:rsidRPr="00B60020">
        <w:rPr>
          <w:rFonts w:ascii="Titillium" w:hAnsi="Titillium"/>
          <w:sz w:val="20"/>
          <w:szCs w:val="20"/>
        </w:rPr>
        <w:t>Tekuće pomoći od in</w:t>
      </w:r>
      <w:r w:rsidRPr="00B60020">
        <w:rPr>
          <w:rFonts w:ascii="Titillium" w:hAnsi="Titillium"/>
          <w:sz w:val="20"/>
          <w:szCs w:val="20"/>
        </w:rPr>
        <w:t xml:space="preserve">stitucija i tijela EU evidentiran je </w:t>
      </w:r>
      <w:r w:rsidR="00A16AAB" w:rsidRPr="00B60020">
        <w:rPr>
          <w:rFonts w:ascii="Titillium" w:hAnsi="Titillium"/>
          <w:sz w:val="20"/>
          <w:szCs w:val="20"/>
        </w:rPr>
        <w:t xml:space="preserve">iznos od </w:t>
      </w:r>
      <w:r w:rsidR="00B0244C">
        <w:rPr>
          <w:rFonts w:ascii="Titillium" w:hAnsi="Titillium"/>
          <w:sz w:val="20"/>
          <w:szCs w:val="20"/>
        </w:rPr>
        <w:t>1.247.628,22</w:t>
      </w:r>
      <w:r w:rsidR="00950F53" w:rsidRPr="00B60020">
        <w:rPr>
          <w:rFonts w:ascii="Titillium" w:hAnsi="Titillium"/>
          <w:sz w:val="20"/>
          <w:szCs w:val="20"/>
        </w:rPr>
        <w:t xml:space="preserve"> EUR (indeks </w:t>
      </w:r>
      <w:r w:rsidR="00B0244C">
        <w:rPr>
          <w:rFonts w:ascii="Titillium" w:hAnsi="Titillium"/>
          <w:sz w:val="20"/>
          <w:szCs w:val="20"/>
        </w:rPr>
        <w:t>203,9</w:t>
      </w:r>
      <w:r w:rsidR="00950F53" w:rsidRPr="00B60020">
        <w:rPr>
          <w:rFonts w:ascii="Titillium" w:hAnsi="Titillium"/>
          <w:sz w:val="20"/>
          <w:szCs w:val="20"/>
        </w:rPr>
        <w:t>)</w:t>
      </w:r>
      <w:r w:rsidR="007A58EB" w:rsidRPr="00B60020">
        <w:rPr>
          <w:rFonts w:ascii="Titillium" w:hAnsi="Titillium"/>
          <w:sz w:val="20"/>
          <w:szCs w:val="20"/>
        </w:rPr>
        <w:t xml:space="preserve">. </w:t>
      </w:r>
      <w:r w:rsidR="00EB49EF">
        <w:rPr>
          <w:rFonts w:ascii="Titillium" w:hAnsi="Titillium"/>
          <w:sz w:val="20"/>
          <w:szCs w:val="20"/>
        </w:rPr>
        <w:t xml:space="preserve">Krajem 2023. godine ugovorena su dva nova projekta </w:t>
      </w:r>
      <w:r w:rsidR="00950F53" w:rsidRPr="00B60020">
        <w:rPr>
          <w:rStyle w:val="st1"/>
          <w:rFonts w:ascii="Titillium" w:hAnsi="Titillium"/>
          <w:sz w:val="20"/>
          <w:szCs w:val="20"/>
        </w:rPr>
        <w:t xml:space="preserve">iz okvirnog programa EU za istraživanja i inovacije </w:t>
      </w:r>
      <w:proofErr w:type="spellStart"/>
      <w:r w:rsidR="004C722C">
        <w:rPr>
          <w:rStyle w:val="st1"/>
          <w:rFonts w:ascii="Titillium" w:hAnsi="Titillium"/>
          <w:sz w:val="20"/>
          <w:szCs w:val="20"/>
        </w:rPr>
        <w:t>Horizon</w:t>
      </w:r>
      <w:proofErr w:type="spellEnd"/>
      <w:r w:rsidR="004C722C">
        <w:rPr>
          <w:rStyle w:val="st1"/>
          <w:rFonts w:ascii="Titillium" w:hAnsi="Titillium"/>
          <w:sz w:val="20"/>
          <w:szCs w:val="20"/>
        </w:rPr>
        <w:t xml:space="preserve"> Europe</w:t>
      </w:r>
      <w:r w:rsidR="00EB49EF">
        <w:rPr>
          <w:rStyle w:val="st1"/>
          <w:rFonts w:ascii="Titillium" w:hAnsi="Titillium"/>
          <w:sz w:val="20"/>
          <w:szCs w:val="20"/>
        </w:rPr>
        <w:t xml:space="preserve">, a početkom 2024. su doznačene </w:t>
      </w:r>
      <w:r w:rsidR="004E6C12">
        <w:rPr>
          <w:rStyle w:val="st1"/>
          <w:rFonts w:ascii="Titillium" w:hAnsi="Titillium"/>
          <w:sz w:val="20"/>
          <w:szCs w:val="20"/>
        </w:rPr>
        <w:t xml:space="preserve">prve </w:t>
      </w:r>
      <w:r w:rsidR="00EB49EF">
        <w:rPr>
          <w:rStyle w:val="st1"/>
          <w:rFonts w:ascii="Titillium" w:hAnsi="Titillium"/>
          <w:sz w:val="20"/>
          <w:szCs w:val="20"/>
        </w:rPr>
        <w:t>rate za rad na projektima</w:t>
      </w:r>
      <w:r w:rsidR="00A1391A">
        <w:rPr>
          <w:rStyle w:val="st1"/>
          <w:rFonts w:ascii="Titillium" w:hAnsi="Titillium"/>
          <w:sz w:val="20"/>
          <w:szCs w:val="20"/>
        </w:rPr>
        <w:t>.</w:t>
      </w:r>
      <w:r w:rsidR="004E6C12">
        <w:rPr>
          <w:rStyle w:val="st1"/>
          <w:rFonts w:ascii="Titillium" w:hAnsi="Titillium"/>
          <w:sz w:val="20"/>
          <w:szCs w:val="20"/>
        </w:rPr>
        <w:t xml:space="preserve"> </w:t>
      </w:r>
      <w:proofErr w:type="spellStart"/>
      <w:r w:rsidR="004E6C12">
        <w:rPr>
          <w:rStyle w:val="st1"/>
          <w:rFonts w:ascii="Titillium" w:hAnsi="Titillium"/>
          <w:sz w:val="20"/>
          <w:szCs w:val="20"/>
        </w:rPr>
        <w:t>Universidade</w:t>
      </w:r>
      <w:proofErr w:type="spellEnd"/>
      <w:r w:rsidR="004E6C12">
        <w:rPr>
          <w:rStyle w:val="st1"/>
          <w:rFonts w:ascii="Titillium" w:hAnsi="Titillium"/>
          <w:sz w:val="20"/>
          <w:szCs w:val="20"/>
        </w:rPr>
        <w:t xml:space="preserve"> Nova de </w:t>
      </w:r>
      <w:proofErr w:type="spellStart"/>
      <w:r w:rsidR="004E6C12">
        <w:rPr>
          <w:rStyle w:val="st1"/>
          <w:rFonts w:ascii="Titillium" w:hAnsi="Titillium"/>
          <w:sz w:val="20"/>
          <w:szCs w:val="20"/>
        </w:rPr>
        <w:t>Lisboa</w:t>
      </w:r>
      <w:proofErr w:type="spellEnd"/>
      <w:r w:rsidR="004E6C12">
        <w:rPr>
          <w:rStyle w:val="st1"/>
          <w:rFonts w:ascii="Titillium" w:hAnsi="Titillium"/>
          <w:sz w:val="20"/>
          <w:szCs w:val="20"/>
        </w:rPr>
        <w:t xml:space="preserve"> (UNL) doznačio je Institutu 117.971,88 EUR za rad na projektu </w:t>
      </w:r>
      <w:proofErr w:type="spellStart"/>
      <w:r w:rsidR="004E6C12" w:rsidRPr="00B64B24">
        <w:rPr>
          <w:rStyle w:val="st1"/>
          <w:rFonts w:ascii="Titillium" w:hAnsi="Titillium"/>
          <w:i/>
          <w:sz w:val="20"/>
          <w:szCs w:val="20"/>
        </w:rPr>
        <w:t>Evamobs</w:t>
      </w:r>
      <w:proofErr w:type="spellEnd"/>
      <w:r w:rsidR="004E6C12">
        <w:rPr>
          <w:rStyle w:val="st1"/>
          <w:rFonts w:ascii="Titillium" w:hAnsi="Titillium"/>
          <w:sz w:val="20"/>
          <w:szCs w:val="20"/>
        </w:rPr>
        <w:t xml:space="preserve">, a European Health </w:t>
      </w:r>
      <w:proofErr w:type="spellStart"/>
      <w:r w:rsidR="004E6C12">
        <w:rPr>
          <w:rStyle w:val="st1"/>
          <w:rFonts w:ascii="Titillium" w:hAnsi="Titillium"/>
          <w:sz w:val="20"/>
          <w:szCs w:val="20"/>
        </w:rPr>
        <w:t>and</w:t>
      </w:r>
      <w:proofErr w:type="spellEnd"/>
      <w:r w:rsidR="004E6C12">
        <w:rPr>
          <w:rStyle w:val="st1"/>
          <w:rFonts w:ascii="Titillium" w:hAnsi="Titillium"/>
          <w:sz w:val="20"/>
          <w:szCs w:val="20"/>
        </w:rPr>
        <w:t xml:space="preserve"> Digital </w:t>
      </w:r>
      <w:proofErr w:type="spellStart"/>
      <w:r w:rsidR="004E6C12">
        <w:rPr>
          <w:rStyle w:val="st1"/>
          <w:rFonts w:ascii="Titillium" w:hAnsi="Titillium"/>
          <w:sz w:val="20"/>
          <w:szCs w:val="20"/>
        </w:rPr>
        <w:t>Executive</w:t>
      </w:r>
      <w:proofErr w:type="spellEnd"/>
      <w:r w:rsidR="004E6C12">
        <w:rPr>
          <w:rStyle w:val="st1"/>
          <w:rFonts w:ascii="Titillium" w:hAnsi="Titillium"/>
          <w:sz w:val="20"/>
          <w:szCs w:val="20"/>
        </w:rPr>
        <w:t xml:space="preserve"> </w:t>
      </w:r>
      <w:proofErr w:type="spellStart"/>
      <w:r w:rsidR="004E6C12">
        <w:rPr>
          <w:rStyle w:val="st1"/>
          <w:rFonts w:ascii="Titillium" w:hAnsi="Titillium"/>
          <w:sz w:val="20"/>
          <w:szCs w:val="20"/>
        </w:rPr>
        <w:t>Agency</w:t>
      </w:r>
      <w:proofErr w:type="spellEnd"/>
      <w:r w:rsidR="004E6C12">
        <w:rPr>
          <w:rStyle w:val="st1"/>
          <w:rFonts w:ascii="Titillium" w:hAnsi="Titillium"/>
          <w:sz w:val="20"/>
          <w:szCs w:val="20"/>
        </w:rPr>
        <w:t xml:space="preserve"> (HADEA) 38.219,00 EUR za rad na projektu </w:t>
      </w:r>
      <w:r w:rsidR="004E6C12" w:rsidRPr="00B64B24">
        <w:rPr>
          <w:rStyle w:val="st1"/>
          <w:rFonts w:ascii="Titillium" w:hAnsi="Titillium"/>
          <w:i/>
          <w:sz w:val="20"/>
          <w:szCs w:val="20"/>
        </w:rPr>
        <w:t xml:space="preserve">SMF </w:t>
      </w:r>
      <w:proofErr w:type="spellStart"/>
      <w:r w:rsidR="004E6C12" w:rsidRPr="00B64B24">
        <w:rPr>
          <w:rStyle w:val="st1"/>
          <w:rFonts w:ascii="Titillium" w:hAnsi="Titillium"/>
          <w:i/>
          <w:sz w:val="20"/>
          <w:szCs w:val="20"/>
        </w:rPr>
        <w:t>Biocides</w:t>
      </w:r>
      <w:proofErr w:type="spellEnd"/>
      <w:r w:rsidR="004E6C12">
        <w:rPr>
          <w:rStyle w:val="st1"/>
          <w:rFonts w:ascii="Titillium" w:hAnsi="Titillium"/>
          <w:sz w:val="20"/>
          <w:szCs w:val="20"/>
        </w:rPr>
        <w:t>.</w:t>
      </w:r>
      <w:r w:rsidR="004C722C">
        <w:rPr>
          <w:rStyle w:val="st1"/>
          <w:rFonts w:ascii="Titillium" w:hAnsi="Titillium"/>
          <w:sz w:val="20"/>
          <w:szCs w:val="20"/>
        </w:rPr>
        <w:t xml:space="preserve"> </w:t>
      </w:r>
      <w:r w:rsidR="00230147">
        <w:rPr>
          <w:rStyle w:val="st1"/>
          <w:rFonts w:ascii="Titillium" w:hAnsi="Titillium"/>
          <w:sz w:val="20"/>
          <w:szCs w:val="20"/>
        </w:rPr>
        <w:t>I</w:t>
      </w:r>
      <w:r w:rsidR="00230147">
        <w:rPr>
          <w:rFonts w:ascii="Titillium" w:hAnsi="Titillium"/>
          <w:sz w:val="20"/>
          <w:szCs w:val="20"/>
        </w:rPr>
        <w:t xml:space="preserve">z programa </w:t>
      </w:r>
      <w:proofErr w:type="spellStart"/>
      <w:r w:rsidR="00230147">
        <w:rPr>
          <w:rFonts w:ascii="Titillium" w:hAnsi="Titillium"/>
          <w:sz w:val="20"/>
          <w:szCs w:val="20"/>
        </w:rPr>
        <w:t>Horizon</w:t>
      </w:r>
      <w:proofErr w:type="spellEnd"/>
      <w:r w:rsidR="00230147">
        <w:rPr>
          <w:rFonts w:ascii="Titillium" w:hAnsi="Titillium"/>
          <w:sz w:val="20"/>
          <w:szCs w:val="20"/>
        </w:rPr>
        <w:t xml:space="preserve"> Europ</w:t>
      </w:r>
      <w:r w:rsidR="00B64B24">
        <w:rPr>
          <w:rFonts w:ascii="Titillium" w:hAnsi="Titillium"/>
          <w:sz w:val="20"/>
          <w:szCs w:val="20"/>
        </w:rPr>
        <w:t>e</w:t>
      </w:r>
      <w:r w:rsidR="00230147" w:rsidRPr="00850C37">
        <w:rPr>
          <w:rFonts w:ascii="Titillium" w:eastAsia="CIDFont+F2" w:hAnsi="Titillium" w:cs="CIDFont+F2"/>
          <w:sz w:val="20"/>
          <w:szCs w:val="20"/>
        </w:rPr>
        <w:t xml:space="preserve"> </w:t>
      </w:r>
      <w:r w:rsidR="00230147">
        <w:rPr>
          <w:rFonts w:ascii="Titillium" w:eastAsia="CIDFont+F2" w:hAnsi="Titillium" w:cs="CIDFont+F2"/>
          <w:sz w:val="20"/>
          <w:szCs w:val="20"/>
        </w:rPr>
        <w:lastRenderedPageBreak/>
        <w:t>doznačene su i druge rate za projekte</w:t>
      </w:r>
      <w:r w:rsidR="00A67511">
        <w:rPr>
          <w:rFonts w:ascii="Titillium" w:hAnsi="Titillium"/>
          <w:sz w:val="20"/>
          <w:szCs w:val="20"/>
        </w:rPr>
        <w:t xml:space="preserve">: </w:t>
      </w:r>
      <w:proofErr w:type="spellStart"/>
      <w:r w:rsidR="00A67511" w:rsidRPr="00850C37">
        <w:rPr>
          <w:rFonts w:ascii="Titillium" w:hAnsi="Titillium"/>
          <w:i/>
          <w:sz w:val="20"/>
          <w:szCs w:val="20"/>
        </w:rPr>
        <w:t>A</w:t>
      </w:r>
      <w:r w:rsidR="00A67511">
        <w:rPr>
          <w:rFonts w:ascii="Titillium" w:hAnsi="Titillium"/>
          <w:i/>
          <w:sz w:val="20"/>
          <w:szCs w:val="20"/>
        </w:rPr>
        <w:t>ntimicrobal</w:t>
      </w:r>
      <w:proofErr w:type="spellEnd"/>
      <w:r w:rsidR="00A67511" w:rsidRPr="00850C37">
        <w:rPr>
          <w:rFonts w:ascii="Titillium" w:hAnsi="Titillium"/>
          <w:i/>
          <w:sz w:val="20"/>
          <w:szCs w:val="20"/>
        </w:rPr>
        <w:t xml:space="preserve"> </w:t>
      </w:r>
      <w:proofErr w:type="spellStart"/>
      <w:r w:rsidR="00A67511" w:rsidRPr="00850C37">
        <w:rPr>
          <w:rFonts w:ascii="Titillium" w:hAnsi="Titillium"/>
          <w:i/>
          <w:sz w:val="20"/>
          <w:szCs w:val="20"/>
        </w:rPr>
        <w:t>N</w:t>
      </w:r>
      <w:r w:rsidR="00A67511">
        <w:rPr>
          <w:rFonts w:ascii="Titillium" w:hAnsi="Titillium"/>
          <w:i/>
          <w:sz w:val="20"/>
          <w:szCs w:val="20"/>
        </w:rPr>
        <w:t>anostructured</w:t>
      </w:r>
      <w:proofErr w:type="spellEnd"/>
      <w:r w:rsidR="00A67511" w:rsidRPr="00850C37">
        <w:rPr>
          <w:rFonts w:ascii="Titillium" w:hAnsi="Titillium"/>
          <w:i/>
          <w:sz w:val="20"/>
          <w:szCs w:val="20"/>
        </w:rPr>
        <w:t xml:space="preserve"> </w:t>
      </w:r>
      <w:proofErr w:type="spellStart"/>
      <w:r w:rsidR="00A67511" w:rsidRPr="00850C37">
        <w:rPr>
          <w:rFonts w:ascii="Titillium" w:hAnsi="Titillium"/>
          <w:i/>
          <w:sz w:val="20"/>
          <w:szCs w:val="20"/>
        </w:rPr>
        <w:t>B</w:t>
      </w:r>
      <w:r w:rsidR="00A67511">
        <w:rPr>
          <w:rFonts w:ascii="Titillium" w:hAnsi="Titillium"/>
          <w:i/>
          <w:sz w:val="20"/>
          <w:szCs w:val="20"/>
        </w:rPr>
        <w:t>iomaterials</w:t>
      </w:r>
      <w:proofErr w:type="spellEnd"/>
      <w:r w:rsidR="00A67511" w:rsidRPr="00850C37">
        <w:rPr>
          <w:rFonts w:ascii="Titillium" w:hAnsi="Titillium"/>
          <w:i/>
          <w:sz w:val="20"/>
          <w:szCs w:val="20"/>
        </w:rPr>
        <w:t xml:space="preserve"> </w:t>
      </w:r>
      <w:r w:rsidR="00A67511">
        <w:rPr>
          <w:rFonts w:ascii="Titillium" w:hAnsi="Titillium"/>
          <w:i/>
          <w:sz w:val="20"/>
          <w:szCs w:val="20"/>
        </w:rPr>
        <w:t xml:space="preserve">for </w:t>
      </w:r>
      <w:r w:rsidR="00A67511" w:rsidRPr="00850C37">
        <w:rPr>
          <w:rFonts w:ascii="Titillium" w:hAnsi="Titillium"/>
          <w:i/>
          <w:sz w:val="20"/>
          <w:szCs w:val="20"/>
        </w:rPr>
        <w:t>C</w:t>
      </w:r>
      <w:r w:rsidR="00A67511">
        <w:rPr>
          <w:rFonts w:ascii="Titillium" w:hAnsi="Titillium"/>
          <w:i/>
          <w:sz w:val="20"/>
          <w:szCs w:val="20"/>
        </w:rPr>
        <w:t xml:space="preserve">omplex </w:t>
      </w:r>
      <w:proofErr w:type="spellStart"/>
      <w:r w:rsidR="00A67511">
        <w:rPr>
          <w:rFonts w:ascii="Titillium" w:hAnsi="Titillium"/>
          <w:i/>
          <w:sz w:val="20"/>
          <w:szCs w:val="20"/>
        </w:rPr>
        <w:t>Wound</w:t>
      </w:r>
      <w:proofErr w:type="spellEnd"/>
      <w:r w:rsidR="00A67511">
        <w:rPr>
          <w:rFonts w:ascii="Titillium" w:hAnsi="Titillium"/>
          <w:i/>
          <w:sz w:val="20"/>
          <w:szCs w:val="20"/>
        </w:rPr>
        <w:t xml:space="preserve"> </w:t>
      </w:r>
      <w:proofErr w:type="spellStart"/>
      <w:r w:rsidR="00A67511">
        <w:rPr>
          <w:rFonts w:ascii="Titillium" w:hAnsi="Titillium"/>
          <w:i/>
          <w:sz w:val="20"/>
          <w:szCs w:val="20"/>
        </w:rPr>
        <w:t>Healin</w:t>
      </w:r>
      <w:r w:rsidR="00230147">
        <w:rPr>
          <w:rFonts w:ascii="Titillium" w:hAnsi="Titillium"/>
          <w:i/>
          <w:sz w:val="20"/>
          <w:szCs w:val="20"/>
        </w:rPr>
        <w:t>e</w:t>
      </w:r>
      <w:proofErr w:type="spellEnd"/>
      <w:r w:rsidR="00A67511">
        <w:rPr>
          <w:rFonts w:ascii="Titillium" w:hAnsi="Titillium"/>
          <w:sz w:val="20"/>
          <w:szCs w:val="20"/>
        </w:rPr>
        <w:t xml:space="preserve"> </w:t>
      </w:r>
      <w:r w:rsidR="00A67511" w:rsidRPr="00653BA4">
        <w:rPr>
          <w:rFonts w:ascii="Titillium" w:hAnsi="Titillium"/>
          <w:i/>
          <w:sz w:val="20"/>
          <w:szCs w:val="20"/>
        </w:rPr>
        <w:t>NABIHEAL</w:t>
      </w:r>
      <w:r w:rsidR="00A67511">
        <w:rPr>
          <w:rFonts w:ascii="Titillium" w:hAnsi="Titillium"/>
          <w:i/>
          <w:sz w:val="20"/>
          <w:szCs w:val="20"/>
        </w:rPr>
        <w:t xml:space="preserve"> u iznosu od</w:t>
      </w:r>
      <w:r w:rsidR="00A67511">
        <w:rPr>
          <w:rFonts w:ascii="Titillium" w:hAnsi="Titillium"/>
          <w:sz w:val="20"/>
          <w:szCs w:val="20"/>
        </w:rPr>
        <w:t xml:space="preserve"> 82.994,51 EUR</w:t>
      </w:r>
      <w:r w:rsidR="00230147">
        <w:rPr>
          <w:rFonts w:ascii="Titillium" w:hAnsi="Titillium"/>
          <w:sz w:val="20"/>
          <w:szCs w:val="20"/>
        </w:rPr>
        <w:t xml:space="preserve"> i </w:t>
      </w:r>
      <w:r w:rsidR="00A67511">
        <w:rPr>
          <w:rFonts w:ascii="Titillium" w:hAnsi="Titillium"/>
          <w:sz w:val="20"/>
          <w:szCs w:val="20"/>
        </w:rPr>
        <w:t>175.614,24 EUR</w:t>
      </w:r>
      <w:r w:rsidR="00A67511" w:rsidRPr="00653BA4">
        <w:rPr>
          <w:rFonts w:ascii="Titillium" w:hAnsi="Titillium"/>
          <w:sz w:val="20"/>
          <w:szCs w:val="20"/>
        </w:rPr>
        <w:t xml:space="preserve"> za rad na projektu </w:t>
      </w:r>
      <w:proofErr w:type="spellStart"/>
      <w:r w:rsidR="00A67511" w:rsidRPr="00230147">
        <w:rPr>
          <w:rFonts w:ascii="Titillium" w:hAnsi="Titillium" w:cs="TimesNewRomanPSMT"/>
          <w:i/>
          <w:sz w:val="20"/>
          <w:szCs w:val="20"/>
        </w:rPr>
        <w:t>Evidence</w:t>
      </w:r>
      <w:proofErr w:type="spellEnd"/>
      <w:r w:rsidR="00A67511" w:rsidRPr="00230147">
        <w:rPr>
          <w:rFonts w:ascii="Titillium" w:hAnsi="Titillium" w:cs="TimesNewRomanPSMT"/>
          <w:i/>
          <w:sz w:val="20"/>
          <w:szCs w:val="20"/>
        </w:rPr>
        <w:t xml:space="preserve"> </w:t>
      </w:r>
      <w:proofErr w:type="spellStart"/>
      <w:r w:rsidR="00A67511" w:rsidRPr="00230147">
        <w:rPr>
          <w:rFonts w:ascii="Titillium" w:hAnsi="Titillium" w:cs="TimesNewRomanPSMT"/>
          <w:i/>
          <w:sz w:val="20"/>
          <w:szCs w:val="20"/>
        </w:rPr>
        <w:t>Driven</w:t>
      </w:r>
      <w:proofErr w:type="spellEnd"/>
      <w:r w:rsidR="00A67511" w:rsidRPr="00230147">
        <w:rPr>
          <w:rFonts w:ascii="Titillium" w:hAnsi="Titillium" w:cs="TimesNewRomanPSMT"/>
          <w:i/>
          <w:sz w:val="20"/>
          <w:szCs w:val="20"/>
        </w:rPr>
        <w:t xml:space="preserve"> </w:t>
      </w:r>
      <w:proofErr w:type="spellStart"/>
      <w:r w:rsidR="00A67511" w:rsidRPr="00230147">
        <w:rPr>
          <w:rFonts w:ascii="Titillium" w:hAnsi="Titillium" w:cs="TimesNewRomanPSMT"/>
          <w:i/>
          <w:sz w:val="20"/>
          <w:szCs w:val="20"/>
        </w:rPr>
        <w:t>Indoor</w:t>
      </w:r>
      <w:proofErr w:type="spellEnd"/>
      <w:r w:rsidR="00A67511" w:rsidRPr="00230147">
        <w:rPr>
          <w:rFonts w:ascii="Titillium" w:hAnsi="Titillium" w:cs="TimesNewRomanPSMT"/>
          <w:i/>
          <w:sz w:val="20"/>
          <w:szCs w:val="20"/>
        </w:rPr>
        <w:t xml:space="preserve"> Air </w:t>
      </w:r>
      <w:proofErr w:type="spellStart"/>
      <w:r w:rsidR="00A67511" w:rsidRPr="00230147">
        <w:rPr>
          <w:rFonts w:ascii="Titillium" w:hAnsi="Titillium" w:cs="TimesNewRomanPSMT"/>
          <w:i/>
          <w:sz w:val="20"/>
          <w:szCs w:val="20"/>
        </w:rPr>
        <w:t>Quality</w:t>
      </w:r>
      <w:proofErr w:type="spellEnd"/>
      <w:r w:rsidR="00A67511" w:rsidRPr="00230147">
        <w:rPr>
          <w:rFonts w:ascii="Titillium" w:hAnsi="Titillium" w:cs="TimesNewRomanPSMT"/>
          <w:i/>
          <w:sz w:val="20"/>
          <w:szCs w:val="20"/>
        </w:rPr>
        <w:t xml:space="preserve"> </w:t>
      </w:r>
      <w:proofErr w:type="spellStart"/>
      <w:r w:rsidR="00A67511" w:rsidRPr="00230147">
        <w:rPr>
          <w:rFonts w:ascii="Titillium" w:hAnsi="Titillium" w:cs="TimesNewRomanPSMT"/>
          <w:i/>
          <w:sz w:val="20"/>
          <w:szCs w:val="20"/>
        </w:rPr>
        <w:t>Improvement</w:t>
      </w:r>
      <w:proofErr w:type="spellEnd"/>
      <w:r w:rsidR="00A67511" w:rsidRPr="00230147">
        <w:rPr>
          <w:rFonts w:ascii="Titillium" w:hAnsi="Titillium" w:cs="TimesNewRomanPSMT"/>
          <w:i/>
          <w:sz w:val="20"/>
          <w:szCs w:val="20"/>
        </w:rPr>
        <w:t>: EDIAQI.</w:t>
      </w:r>
    </w:p>
    <w:p w:rsidR="00B41F76" w:rsidRDefault="00E246F1" w:rsidP="00B41F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st1"/>
          <w:rFonts w:ascii="Titillium" w:hAnsi="Titillium" w:cs="Arial"/>
          <w:sz w:val="20"/>
          <w:szCs w:val="20"/>
        </w:rPr>
      </w:pPr>
      <w:r>
        <w:rPr>
          <w:rStyle w:val="st1"/>
          <w:rFonts w:ascii="Titillium" w:hAnsi="Titillium" w:cs="Arial"/>
          <w:sz w:val="20"/>
          <w:szCs w:val="20"/>
        </w:rPr>
        <w:t xml:space="preserve">Prihod u iznosu 42.880,81 EUR ostvaren je  od Luxembourg Institute for Science </w:t>
      </w:r>
      <w:proofErr w:type="spellStart"/>
      <w:r>
        <w:rPr>
          <w:rStyle w:val="st1"/>
          <w:rFonts w:ascii="Titillium" w:hAnsi="Titillium" w:cs="Arial"/>
          <w:sz w:val="20"/>
          <w:szCs w:val="20"/>
        </w:rPr>
        <w:t>and</w:t>
      </w:r>
      <w:proofErr w:type="spellEnd"/>
      <w:r>
        <w:rPr>
          <w:rStyle w:val="st1"/>
          <w:rFonts w:ascii="Titillium" w:hAnsi="Titillium" w:cs="Arial"/>
          <w:sz w:val="20"/>
          <w:szCs w:val="20"/>
        </w:rPr>
        <w:t xml:space="preserve"> Technology kao treća rata za projekt: </w:t>
      </w:r>
      <w:r w:rsidRPr="00B64B24">
        <w:rPr>
          <w:rStyle w:val="st1"/>
          <w:rFonts w:ascii="Titillium" w:hAnsi="Titillium" w:cs="Arial"/>
          <w:i/>
          <w:sz w:val="20"/>
          <w:szCs w:val="20"/>
        </w:rPr>
        <w:t xml:space="preserve">Pharmaceutical Open </w:t>
      </w:r>
      <w:proofErr w:type="spellStart"/>
      <w:r w:rsidRPr="00B64B24">
        <w:rPr>
          <w:rStyle w:val="st1"/>
          <w:rFonts w:ascii="Titillium" w:hAnsi="Titillium" w:cs="Arial"/>
          <w:i/>
          <w:sz w:val="20"/>
          <w:szCs w:val="20"/>
        </w:rPr>
        <w:t>Innovation</w:t>
      </w:r>
      <w:proofErr w:type="spellEnd"/>
      <w:r w:rsidRPr="00B64B24">
        <w:rPr>
          <w:rStyle w:val="st1"/>
          <w:rFonts w:ascii="Titillium" w:hAnsi="Titillium" w:cs="Arial"/>
          <w:i/>
          <w:sz w:val="20"/>
          <w:szCs w:val="20"/>
        </w:rPr>
        <w:t xml:space="preserve"> Test Bed for </w:t>
      </w:r>
      <w:proofErr w:type="spellStart"/>
      <w:r w:rsidRPr="00B64B24">
        <w:rPr>
          <w:rStyle w:val="st1"/>
          <w:rFonts w:ascii="Titillium" w:hAnsi="Titillium" w:cs="Arial"/>
          <w:i/>
          <w:sz w:val="20"/>
          <w:szCs w:val="20"/>
        </w:rPr>
        <w:t>Enabling</w:t>
      </w:r>
      <w:proofErr w:type="spellEnd"/>
      <w:r w:rsidRPr="00B64B24">
        <w:rPr>
          <w:rStyle w:val="st1"/>
          <w:rFonts w:ascii="Titillium" w:hAnsi="Titillium" w:cs="Arial"/>
          <w:i/>
          <w:sz w:val="20"/>
          <w:szCs w:val="20"/>
        </w:rPr>
        <w:t xml:space="preserve"> Nano-Pharmaceutical </w:t>
      </w:r>
      <w:proofErr w:type="spellStart"/>
      <w:r w:rsidRPr="00B64B24">
        <w:rPr>
          <w:rStyle w:val="st1"/>
          <w:rFonts w:ascii="Titillium" w:hAnsi="Titillium" w:cs="Arial"/>
          <w:i/>
          <w:sz w:val="20"/>
          <w:szCs w:val="20"/>
        </w:rPr>
        <w:t>Innovative</w:t>
      </w:r>
      <w:proofErr w:type="spellEnd"/>
      <w:r w:rsidRPr="00B64B24">
        <w:rPr>
          <w:rStyle w:val="st1"/>
          <w:rFonts w:ascii="Titillium" w:hAnsi="Titillium" w:cs="Arial"/>
          <w:i/>
          <w:sz w:val="20"/>
          <w:szCs w:val="20"/>
        </w:rPr>
        <w:t xml:space="preserve"> Products – PHOENIX</w:t>
      </w:r>
      <w:r>
        <w:rPr>
          <w:rStyle w:val="st1"/>
          <w:rFonts w:ascii="Titillium" w:hAnsi="Titillium" w:cs="Arial"/>
          <w:sz w:val="20"/>
          <w:szCs w:val="20"/>
        </w:rPr>
        <w:t xml:space="preserve"> iz okvirnog programa za istraživanja i inovacije </w:t>
      </w:r>
      <w:proofErr w:type="spellStart"/>
      <w:r w:rsidR="00B64B24">
        <w:rPr>
          <w:rStyle w:val="st1"/>
          <w:rFonts w:ascii="Titillium" w:hAnsi="Titillium" w:cs="Arial"/>
          <w:sz w:val="20"/>
          <w:szCs w:val="20"/>
        </w:rPr>
        <w:t>Horizon</w:t>
      </w:r>
      <w:proofErr w:type="spellEnd"/>
      <w:r>
        <w:rPr>
          <w:rStyle w:val="st1"/>
          <w:rFonts w:ascii="Titillium" w:hAnsi="Titillium" w:cs="Arial"/>
          <w:sz w:val="20"/>
          <w:szCs w:val="20"/>
        </w:rPr>
        <w:t xml:space="preserve"> 2020.</w:t>
      </w:r>
      <w:r w:rsidR="00B41F76">
        <w:rPr>
          <w:rStyle w:val="st1"/>
          <w:rFonts w:ascii="Titillium" w:hAnsi="Titillium" w:cs="Arial"/>
          <w:sz w:val="20"/>
          <w:szCs w:val="20"/>
        </w:rPr>
        <w:t xml:space="preserve"> Iz </w:t>
      </w:r>
      <w:r w:rsidR="00B64B24">
        <w:rPr>
          <w:rStyle w:val="st1"/>
          <w:rFonts w:ascii="Titillium" w:hAnsi="Titillium" w:cs="Arial"/>
          <w:sz w:val="20"/>
          <w:szCs w:val="20"/>
        </w:rPr>
        <w:t xml:space="preserve">istog </w:t>
      </w:r>
      <w:r w:rsidR="00B41F76">
        <w:rPr>
          <w:rStyle w:val="st1"/>
          <w:rFonts w:ascii="Titillium" w:hAnsi="Titillium" w:cs="Arial"/>
          <w:sz w:val="20"/>
          <w:szCs w:val="20"/>
        </w:rPr>
        <w:t>programa primljen</w:t>
      </w:r>
      <w:r w:rsidR="00B64B24">
        <w:rPr>
          <w:rStyle w:val="st1"/>
          <w:rFonts w:ascii="Titillium" w:hAnsi="Titillium" w:cs="Arial"/>
          <w:sz w:val="20"/>
          <w:szCs w:val="20"/>
        </w:rPr>
        <w:t xml:space="preserve">a </w:t>
      </w:r>
      <w:r w:rsidR="00B41F76">
        <w:rPr>
          <w:rStyle w:val="st1"/>
          <w:rFonts w:ascii="Titillium" w:hAnsi="Titillium" w:cs="Arial"/>
          <w:sz w:val="20"/>
          <w:szCs w:val="20"/>
        </w:rPr>
        <w:t xml:space="preserve">i završna uplata za projekt </w:t>
      </w:r>
      <w:r w:rsidR="00B41F76" w:rsidRPr="00B64B24">
        <w:rPr>
          <w:rStyle w:val="st1"/>
          <w:rFonts w:ascii="Titillium" w:hAnsi="Titillium" w:cs="Arial"/>
          <w:i/>
          <w:sz w:val="20"/>
          <w:szCs w:val="20"/>
        </w:rPr>
        <w:t>RISKGONE</w:t>
      </w:r>
      <w:r w:rsidR="00B41F76">
        <w:rPr>
          <w:rStyle w:val="st1"/>
          <w:rFonts w:ascii="Titillium" w:hAnsi="Titillium" w:cs="Arial"/>
          <w:sz w:val="20"/>
          <w:szCs w:val="20"/>
        </w:rPr>
        <w:t xml:space="preserve"> u iznosu od 9.245,85 EUR.</w:t>
      </w:r>
    </w:p>
    <w:p w:rsidR="00E246F1" w:rsidRPr="00B60020" w:rsidRDefault="00DC6DB1" w:rsidP="00E246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st1"/>
          <w:rFonts w:ascii="Titillium" w:hAnsi="Titillium" w:cs="Arial"/>
          <w:sz w:val="20"/>
          <w:szCs w:val="20"/>
        </w:rPr>
      </w:pPr>
      <w:r>
        <w:rPr>
          <w:rStyle w:val="st1"/>
          <w:rFonts w:ascii="Titillium" w:hAnsi="Titillium" w:cs="Arial"/>
          <w:sz w:val="20"/>
          <w:szCs w:val="20"/>
        </w:rPr>
        <w:t xml:space="preserve">Iz poziva </w:t>
      </w:r>
      <w:proofErr w:type="spellStart"/>
      <w:r>
        <w:rPr>
          <w:rStyle w:val="st1"/>
          <w:rFonts w:ascii="Titillium" w:hAnsi="Titillium" w:cs="Arial"/>
          <w:sz w:val="20"/>
          <w:szCs w:val="20"/>
        </w:rPr>
        <w:t>Horizon</w:t>
      </w:r>
      <w:proofErr w:type="spellEnd"/>
      <w:r>
        <w:rPr>
          <w:rStyle w:val="st1"/>
          <w:rFonts w:ascii="Titillium" w:hAnsi="Titillium" w:cs="Arial"/>
          <w:sz w:val="20"/>
          <w:szCs w:val="20"/>
        </w:rPr>
        <w:t xml:space="preserve"> Euratom u 2024.</w:t>
      </w:r>
      <w:r w:rsidR="00B64B24">
        <w:rPr>
          <w:rStyle w:val="st1"/>
          <w:rFonts w:ascii="Titillium" w:hAnsi="Titillium" w:cs="Arial"/>
          <w:sz w:val="20"/>
          <w:szCs w:val="20"/>
        </w:rPr>
        <w:t xml:space="preserve"> </w:t>
      </w:r>
      <w:r>
        <w:rPr>
          <w:rStyle w:val="st1"/>
          <w:rFonts w:ascii="Titillium" w:hAnsi="Titillium" w:cs="Arial"/>
          <w:sz w:val="20"/>
          <w:szCs w:val="20"/>
        </w:rPr>
        <w:t>ostvaren je prihod</w:t>
      </w:r>
      <w:r w:rsidR="00B64B24">
        <w:rPr>
          <w:rStyle w:val="st1"/>
          <w:rFonts w:ascii="Titillium" w:hAnsi="Titillium" w:cs="Arial"/>
          <w:sz w:val="20"/>
          <w:szCs w:val="20"/>
        </w:rPr>
        <w:t xml:space="preserve"> u iznosu od 49.925,65 EUR za projekt </w:t>
      </w:r>
      <w:r w:rsidR="00B64B24" w:rsidRPr="00B64B24">
        <w:rPr>
          <w:rStyle w:val="st1"/>
          <w:rFonts w:ascii="Titillium" w:hAnsi="Titillium" w:cs="Arial"/>
          <w:i/>
          <w:sz w:val="20"/>
          <w:szCs w:val="20"/>
        </w:rPr>
        <w:t>PIANOFORTE</w:t>
      </w:r>
      <w:r w:rsidR="00B64B24">
        <w:rPr>
          <w:rStyle w:val="st1"/>
          <w:rFonts w:ascii="Titillium" w:hAnsi="Titillium" w:cs="Arial"/>
          <w:sz w:val="20"/>
          <w:szCs w:val="20"/>
        </w:rPr>
        <w:t xml:space="preserve"> </w:t>
      </w:r>
      <w:r>
        <w:rPr>
          <w:rStyle w:val="st1"/>
          <w:rFonts w:ascii="Titillium" w:hAnsi="Titillium" w:cs="Arial"/>
          <w:sz w:val="20"/>
          <w:szCs w:val="20"/>
        </w:rPr>
        <w:t>.</w:t>
      </w:r>
    </w:p>
    <w:p w:rsidR="00850C37" w:rsidRDefault="004C722C" w:rsidP="00950F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st1"/>
          <w:rFonts w:ascii="Titillium" w:hAnsi="Titillium" w:cs="Arial"/>
          <w:sz w:val="20"/>
          <w:szCs w:val="20"/>
        </w:rPr>
      </w:pPr>
      <w:r>
        <w:rPr>
          <w:rStyle w:val="st1"/>
          <w:rFonts w:ascii="Titillium" w:hAnsi="Titillium" w:cs="Arial"/>
          <w:sz w:val="20"/>
          <w:szCs w:val="20"/>
        </w:rPr>
        <w:t xml:space="preserve">Na </w:t>
      </w:r>
      <w:r w:rsidR="00DC6DB1">
        <w:rPr>
          <w:rStyle w:val="st1"/>
          <w:rFonts w:ascii="Titillium" w:hAnsi="Titillium" w:cs="Arial"/>
          <w:sz w:val="20"/>
          <w:szCs w:val="20"/>
        </w:rPr>
        <w:t>ovom</w:t>
      </w:r>
      <w:r>
        <w:rPr>
          <w:rStyle w:val="st1"/>
          <w:rFonts w:ascii="Titillium" w:hAnsi="Titillium" w:cs="Arial"/>
          <w:sz w:val="20"/>
          <w:szCs w:val="20"/>
        </w:rPr>
        <w:t xml:space="preserve"> računu evidentirana je i uplata za tr</w:t>
      </w:r>
      <w:r w:rsidR="00795D5F">
        <w:rPr>
          <w:rStyle w:val="st1"/>
          <w:rFonts w:ascii="Titillium" w:hAnsi="Titillium" w:cs="Arial"/>
          <w:sz w:val="20"/>
          <w:szCs w:val="20"/>
        </w:rPr>
        <w:t>oš</w:t>
      </w:r>
      <w:r>
        <w:rPr>
          <w:rStyle w:val="st1"/>
          <w:rFonts w:ascii="Titillium" w:hAnsi="Titillium" w:cs="Arial"/>
          <w:sz w:val="20"/>
          <w:szCs w:val="20"/>
        </w:rPr>
        <w:t>kove revizije za projekt REC-IMI</w:t>
      </w:r>
      <w:r w:rsidR="00795D5F">
        <w:rPr>
          <w:rStyle w:val="st1"/>
          <w:rFonts w:ascii="Titillium" w:hAnsi="Titillium" w:cs="Arial"/>
          <w:sz w:val="20"/>
          <w:szCs w:val="20"/>
        </w:rPr>
        <w:t xml:space="preserve"> u iznosu od 4.621,88 EUR</w:t>
      </w:r>
      <w:r>
        <w:rPr>
          <w:rStyle w:val="st1"/>
          <w:rFonts w:ascii="Titillium" w:hAnsi="Titillium" w:cs="Arial"/>
          <w:sz w:val="20"/>
          <w:szCs w:val="20"/>
        </w:rPr>
        <w:t>.</w:t>
      </w:r>
      <w:r w:rsidR="00391707">
        <w:rPr>
          <w:rStyle w:val="st1"/>
          <w:rFonts w:ascii="Titillium" w:hAnsi="Titillium" w:cs="Arial"/>
          <w:sz w:val="20"/>
          <w:szCs w:val="20"/>
        </w:rPr>
        <w:t xml:space="preserve"> Tijekom </w:t>
      </w:r>
      <w:r w:rsidR="005A5047">
        <w:rPr>
          <w:rStyle w:val="st1"/>
          <w:rFonts w:ascii="Titillium" w:hAnsi="Titillium" w:cs="Arial"/>
          <w:sz w:val="20"/>
          <w:szCs w:val="20"/>
        </w:rPr>
        <w:t xml:space="preserve">2024. </w:t>
      </w:r>
      <w:r w:rsidR="00391707">
        <w:rPr>
          <w:rStyle w:val="st1"/>
          <w:rFonts w:ascii="Titillium" w:hAnsi="Titillium" w:cs="Arial"/>
          <w:sz w:val="20"/>
          <w:szCs w:val="20"/>
        </w:rPr>
        <w:t>zaključena su dva u</w:t>
      </w:r>
      <w:r w:rsidR="005A5047">
        <w:rPr>
          <w:rStyle w:val="st1"/>
          <w:rFonts w:ascii="Titillium" w:hAnsi="Titillium" w:cs="Arial"/>
          <w:sz w:val="20"/>
          <w:szCs w:val="20"/>
        </w:rPr>
        <w:t>govor</w:t>
      </w:r>
      <w:r w:rsidR="00391707">
        <w:rPr>
          <w:rStyle w:val="st1"/>
          <w:rFonts w:ascii="Titillium" w:hAnsi="Titillium" w:cs="Arial"/>
          <w:sz w:val="20"/>
          <w:szCs w:val="20"/>
        </w:rPr>
        <w:t>a</w:t>
      </w:r>
      <w:r w:rsidR="005A5047">
        <w:rPr>
          <w:rStyle w:val="st1"/>
          <w:rFonts w:ascii="Titillium" w:hAnsi="Titillium" w:cs="Arial"/>
          <w:sz w:val="20"/>
          <w:szCs w:val="20"/>
        </w:rPr>
        <w:t xml:space="preserve"> o dodjeli bespovratnih sredstava za projekt</w:t>
      </w:r>
      <w:r w:rsidR="00391707">
        <w:rPr>
          <w:rStyle w:val="st1"/>
          <w:rFonts w:ascii="Titillium" w:hAnsi="Titillium" w:cs="Arial"/>
          <w:sz w:val="20"/>
          <w:szCs w:val="20"/>
        </w:rPr>
        <w:t>e</w:t>
      </w:r>
      <w:r w:rsidR="005A5047">
        <w:rPr>
          <w:rStyle w:val="st1"/>
          <w:rFonts w:ascii="Titillium" w:hAnsi="Titillium" w:cs="Arial"/>
          <w:sz w:val="20"/>
          <w:szCs w:val="20"/>
        </w:rPr>
        <w:t xml:space="preserve"> financiran</w:t>
      </w:r>
      <w:r w:rsidR="00391707">
        <w:rPr>
          <w:rStyle w:val="st1"/>
          <w:rFonts w:ascii="Titillium" w:hAnsi="Titillium" w:cs="Arial"/>
          <w:sz w:val="20"/>
          <w:szCs w:val="20"/>
        </w:rPr>
        <w:t>e</w:t>
      </w:r>
      <w:r w:rsidR="005A5047">
        <w:rPr>
          <w:rStyle w:val="st1"/>
          <w:rFonts w:ascii="Titillium" w:hAnsi="Titillium" w:cs="Arial"/>
          <w:sz w:val="20"/>
          <w:szCs w:val="20"/>
        </w:rPr>
        <w:t xml:space="preserve"> iz </w:t>
      </w:r>
      <w:r w:rsidR="00DC6DB1">
        <w:rPr>
          <w:rStyle w:val="st1"/>
          <w:rFonts w:ascii="Titillium" w:hAnsi="Titillium" w:cs="Arial"/>
          <w:sz w:val="20"/>
          <w:szCs w:val="20"/>
        </w:rPr>
        <w:t>M</w:t>
      </w:r>
      <w:r w:rsidR="005A5047">
        <w:rPr>
          <w:rStyle w:val="st1"/>
          <w:rFonts w:ascii="Titillium" w:hAnsi="Titillium" w:cs="Arial"/>
          <w:sz w:val="20"/>
          <w:szCs w:val="20"/>
        </w:rPr>
        <w:t>ehanizma za oporavak i otpornost</w:t>
      </w:r>
      <w:r w:rsidR="00E0305E">
        <w:rPr>
          <w:rStyle w:val="st1"/>
          <w:rFonts w:ascii="Titillium" w:hAnsi="Titillium" w:cs="Arial"/>
          <w:sz w:val="20"/>
          <w:szCs w:val="20"/>
        </w:rPr>
        <w:t xml:space="preserve">: </w:t>
      </w:r>
      <w:r w:rsidR="00641653">
        <w:rPr>
          <w:rStyle w:val="st1"/>
          <w:rFonts w:ascii="Titillium" w:hAnsi="Titillium" w:cs="Arial"/>
          <w:sz w:val="20"/>
          <w:szCs w:val="20"/>
        </w:rPr>
        <w:t xml:space="preserve">unutar Poziva „Razvojne istraživačke potpore“ odobren je projektni prijedlog </w:t>
      </w:r>
      <w:proofErr w:type="spellStart"/>
      <w:r w:rsidR="005A5047" w:rsidRPr="00641653">
        <w:rPr>
          <w:rStyle w:val="st1"/>
          <w:rFonts w:ascii="Titillium" w:hAnsi="Titillium" w:cs="Arial"/>
          <w:i/>
          <w:sz w:val="20"/>
          <w:szCs w:val="20"/>
        </w:rPr>
        <w:t>Voksel</w:t>
      </w:r>
      <w:proofErr w:type="spellEnd"/>
      <w:r w:rsidR="005A5047" w:rsidRPr="00641653">
        <w:rPr>
          <w:rStyle w:val="st1"/>
          <w:rFonts w:ascii="Titillium" w:hAnsi="Titillium" w:cs="Arial"/>
          <w:i/>
          <w:sz w:val="20"/>
          <w:szCs w:val="20"/>
        </w:rPr>
        <w:t xml:space="preserve"> matični detektor za radiološko oslikavanje punog prostornog kuta (</w:t>
      </w:r>
      <w:proofErr w:type="spellStart"/>
      <w:r w:rsidR="005A5047" w:rsidRPr="00641653">
        <w:rPr>
          <w:rStyle w:val="st1"/>
          <w:rFonts w:ascii="Titillium" w:hAnsi="Titillium" w:cs="Arial"/>
          <w:i/>
          <w:sz w:val="20"/>
          <w:szCs w:val="20"/>
        </w:rPr>
        <w:t>VMDScan</w:t>
      </w:r>
      <w:proofErr w:type="spellEnd"/>
      <w:r w:rsidR="005A5047" w:rsidRPr="00641653">
        <w:rPr>
          <w:rStyle w:val="st1"/>
          <w:rFonts w:ascii="Titillium" w:hAnsi="Titillium" w:cs="Arial"/>
          <w:i/>
          <w:sz w:val="20"/>
          <w:szCs w:val="20"/>
        </w:rPr>
        <w:t>)</w:t>
      </w:r>
      <w:r w:rsidR="005A5047">
        <w:rPr>
          <w:rStyle w:val="st1"/>
          <w:rFonts w:ascii="Titillium" w:hAnsi="Titillium" w:cs="Arial"/>
          <w:sz w:val="20"/>
          <w:szCs w:val="20"/>
        </w:rPr>
        <w:t xml:space="preserve"> </w:t>
      </w:r>
      <w:r w:rsidR="00641653">
        <w:rPr>
          <w:rStyle w:val="st1"/>
          <w:rFonts w:ascii="Titillium" w:hAnsi="Titillium" w:cs="Arial"/>
          <w:sz w:val="20"/>
          <w:szCs w:val="20"/>
        </w:rPr>
        <w:t xml:space="preserve">za koji je </w:t>
      </w:r>
      <w:r w:rsidR="005A5047">
        <w:rPr>
          <w:rStyle w:val="st1"/>
          <w:rFonts w:ascii="Titillium" w:hAnsi="Titillium" w:cs="Arial"/>
          <w:sz w:val="20"/>
          <w:szCs w:val="20"/>
        </w:rPr>
        <w:t>Institut</w:t>
      </w:r>
      <w:r w:rsidR="00641653">
        <w:rPr>
          <w:rStyle w:val="st1"/>
          <w:rFonts w:ascii="Titillium" w:hAnsi="Titillium" w:cs="Arial"/>
          <w:sz w:val="20"/>
          <w:szCs w:val="20"/>
        </w:rPr>
        <w:t>u</w:t>
      </w:r>
      <w:r w:rsidR="005A5047">
        <w:rPr>
          <w:rStyle w:val="st1"/>
          <w:rFonts w:ascii="Titillium" w:hAnsi="Titillium" w:cs="Arial"/>
          <w:sz w:val="20"/>
          <w:szCs w:val="20"/>
        </w:rPr>
        <w:t xml:space="preserve"> </w:t>
      </w:r>
      <w:r w:rsidR="00641653">
        <w:rPr>
          <w:rStyle w:val="st1"/>
          <w:rFonts w:ascii="Titillium" w:hAnsi="Titillium" w:cs="Arial"/>
          <w:sz w:val="20"/>
          <w:szCs w:val="20"/>
        </w:rPr>
        <w:t>doznačeno 1</w:t>
      </w:r>
      <w:r w:rsidR="005A5047">
        <w:rPr>
          <w:rStyle w:val="st1"/>
          <w:rFonts w:ascii="Titillium" w:hAnsi="Titillium" w:cs="Arial"/>
          <w:sz w:val="20"/>
          <w:szCs w:val="20"/>
        </w:rPr>
        <w:t>46.859,00 EUR</w:t>
      </w:r>
      <w:r w:rsidR="00641653">
        <w:rPr>
          <w:rStyle w:val="st1"/>
          <w:rFonts w:ascii="Titillium" w:hAnsi="Titillium" w:cs="Arial"/>
          <w:sz w:val="20"/>
          <w:szCs w:val="20"/>
        </w:rPr>
        <w:t xml:space="preserve">, a unutar Poziva „Podrška transferu tehnologije“ odobren je projektni prijedlog </w:t>
      </w:r>
      <w:r w:rsidR="00641653">
        <w:rPr>
          <w:rStyle w:val="st1"/>
          <w:rFonts w:ascii="Titillium" w:hAnsi="Titillium" w:cs="Arial"/>
          <w:i/>
          <w:sz w:val="20"/>
          <w:szCs w:val="20"/>
        </w:rPr>
        <w:t xml:space="preserve">Dozimetar UV zračenja za praćenje UV indeksa izloženosti radnika i /ili prostora </w:t>
      </w:r>
      <w:r w:rsidR="00641653">
        <w:rPr>
          <w:rStyle w:val="st1"/>
          <w:rFonts w:ascii="Titillium" w:hAnsi="Titillium" w:cs="Arial"/>
          <w:sz w:val="20"/>
          <w:szCs w:val="20"/>
        </w:rPr>
        <w:t>za koji je Institutu doznačeno 68.311,40 EUR.</w:t>
      </w:r>
      <w:r w:rsidR="005A5047">
        <w:rPr>
          <w:rStyle w:val="st1"/>
          <w:rFonts w:ascii="Titillium" w:hAnsi="Titillium" w:cs="Arial"/>
          <w:sz w:val="20"/>
          <w:szCs w:val="20"/>
        </w:rPr>
        <w:t xml:space="preserve"> </w:t>
      </w:r>
    </w:p>
    <w:p w:rsidR="004F6292" w:rsidRPr="00490332" w:rsidRDefault="004F6292" w:rsidP="00950F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st1"/>
          <w:rFonts w:ascii="Titillium" w:hAnsi="Titillium" w:cs="Arial"/>
          <w:sz w:val="20"/>
          <w:szCs w:val="20"/>
        </w:rPr>
      </w:pPr>
      <w:r w:rsidRPr="00490332">
        <w:rPr>
          <w:rStyle w:val="st1"/>
          <w:rFonts w:ascii="Titillium" w:hAnsi="Titillium" w:cs="Arial"/>
          <w:sz w:val="20"/>
          <w:szCs w:val="20"/>
        </w:rPr>
        <w:t>Krajem 202</w:t>
      </w:r>
      <w:r w:rsidR="00490332" w:rsidRPr="00490332">
        <w:rPr>
          <w:rStyle w:val="st1"/>
          <w:rFonts w:ascii="Titillium" w:hAnsi="Titillium" w:cs="Arial"/>
          <w:sz w:val="20"/>
          <w:szCs w:val="20"/>
        </w:rPr>
        <w:t>4</w:t>
      </w:r>
      <w:r w:rsidRPr="00490332">
        <w:rPr>
          <w:rStyle w:val="st1"/>
          <w:rFonts w:ascii="Titillium" w:hAnsi="Titillium" w:cs="Arial"/>
          <w:sz w:val="20"/>
          <w:szCs w:val="20"/>
        </w:rPr>
        <w:t>. godine Ministarstvo znanosti</w:t>
      </w:r>
      <w:r w:rsidR="00490332" w:rsidRPr="00490332">
        <w:rPr>
          <w:rStyle w:val="st1"/>
          <w:rFonts w:ascii="Titillium" w:hAnsi="Titillium" w:cs="Arial"/>
          <w:sz w:val="20"/>
          <w:szCs w:val="20"/>
        </w:rPr>
        <w:t xml:space="preserve">, </w:t>
      </w:r>
      <w:r w:rsidRPr="00490332">
        <w:rPr>
          <w:rStyle w:val="st1"/>
          <w:rFonts w:ascii="Titillium" w:hAnsi="Titillium" w:cs="Arial"/>
          <w:sz w:val="20"/>
          <w:szCs w:val="20"/>
        </w:rPr>
        <w:t>obrazovanja</w:t>
      </w:r>
      <w:r w:rsidR="00490332" w:rsidRPr="00490332">
        <w:rPr>
          <w:rStyle w:val="st1"/>
          <w:rFonts w:ascii="Titillium" w:hAnsi="Titillium" w:cs="Arial"/>
          <w:sz w:val="20"/>
          <w:szCs w:val="20"/>
        </w:rPr>
        <w:t xml:space="preserve"> i mladih</w:t>
      </w:r>
      <w:r w:rsidRPr="00490332">
        <w:rPr>
          <w:rStyle w:val="st1"/>
          <w:rFonts w:ascii="Titillium" w:hAnsi="Titillium" w:cs="Arial"/>
          <w:sz w:val="20"/>
          <w:szCs w:val="20"/>
        </w:rPr>
        <w:t xml:space="preserve"> doznačilo je Institutu iz Mehanizma za oporavak i otpornost iznos od </w:t>
      </w:r>
      <w:r w:rsidR="00490332" w:rsidRPr="00490332">
        <w:rPr>
          <w:rStyle w:val="st1"/>
          <w:rFonts w:ascii="Titillium" w:hAnsi="Titillium" w:cs="Arial"/>
          <w:sz w:val="20"/>
          <w:szCs w:val="20"/>
        </w:rPr>
        <w:t>51</w:t>
      </w:r>
      <w:r w:rsidR="00DC6DB1">
        <w:rPr>
          <w:rStyle w:val="st1"/>
          <w:rFonts w:ascii="Titillium" w:hAnsi="Titillium" w:cs="Arial"/>
          <w:sz w:val="20"/>
          <w:szCs w:val="20"/>
        </w:rPr>
        <w:t>9</w:t>
      </w:r>
      <w:r w:rsidR="00490332" w:rsidRPr="00490332">
        <w:rPr>
          <w:rStyle w:val="st1"/>
          <w:rFonts w:ascii="Titillium" w:hAnsi="Titillium" w:cs="Arial"/>
          <w:sz w:val="20"/>
          <w:szCs w:val="20"/>
        </w:rPr>
        <w:t>.984</w:t>
      </w:r>
      <w:r w:rsidRPr="00490332">
        <w:rPr>
          <w:rStyle w:val="st1"/>
          <w:rFonts w:ascii="Titillium" w:hAnsi="Titillium" w:cs="Arial"/>
          <w:sz w:val="20"/>
          <w:szCs w:val="20"/>
        </w:rPr>
        <w:t>,00 EUR za financiranje razvojne i izvedbene komponente prema Programskom ugovoru o višegodišnjem financiranju Instituta</w:t>
      </w:r>
      <w:r w:rsidR="00DC6DB1">
        <w:rPr>
          <w:rStyle w:val="st1"/>
          <w:rFonts w:ascii="Titillium" w:hAnsi="Titillium" w:cs="Arial"/>
          <w:sz w:val="20"/>
          <w:szCs w:val="20"/>
        </w:rPr>
        <w:t xml:space="preserve"> od čega je 510.984</w:t>
      </w:r>
      <w:r w:rsidR="00211A4F">
        <w:rPr>
          <w:rStyle w:val="st1"/>
          <w:rFonts w:ascii="Titillium" w:hAnsi="Titillium" w:cs="Arial"/>
          <w:sz w:val="20"/>
          <w:szCs w:val="20"/>
        </w:rPr>
        <w:t>,00</w:t>
      </w:r>
      <w:r w:rsidR="00DC6DB1">
        <w:rPr>
          <w:rStyle w:val="st1"/>
          <w:rFonts w:ascii="Titillium" w:hAnsi="Titillium" w:cs="Arial"/>
          <w:sz w:val="20"/>
          <w:szCs w:val="20"/>
        </w:rPr>
        <w:t xml:space="preserve"> EUR evidentirano na računu 6323, a 9.000,00 EUR na računu 6324.</w:t>
      </w:r>
    </w:p>
    <w:p w:rsidR="00B067AA" w:rsidRDefault="003D384D" w:rsidP="000B5939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B60020">
        <w:rPr>
          <w:rFonts w:ascii="Titillium" w:hAnsi="Titillium" w:cs="Arial"/>
          <w:sz w:val="20"/>
          <w:szCs w:val="20"/>
        </w:rPr>
        <w:t>Na računu 639</w:t>
      </w:r>
      <w:r w:rsidR="005D393B">
        <w:rPr>
          <w:rFonts w:ascii="Titillium" w:hAnsi="Titillium" w:cs="Arial"/>
          <w:sz w:val="20"/>
          <w:szCs w:val="20"/>
        </w:rPr>
        <w:t xml:space="preserve"> </w:t>
      </w:r>
      <w:r w:rsidR="004D1FE6">
        <w:rPr>
          <w:rFonts w:ascii="Titillium" w:hAnsi="Titillium" w:cs="Arial"/>
          <w:sz w:val="20"/>
          <w:szCs w:val="20"/>
        </w:rPr>
        <w:t xml:space="preserve">u ukupnom iznosu od 475.517,15 EUR </w:t>
      </w:r>
      <w:r w:rsidR="005D27C9">
        <w:rPr>
          <w:rFonts w:ascii="Titillium" w:hAnsi="Titillium" w:cs="Arial"/>
          <w:sz w:val="20"/>
          <w:szCs w:val="20"/>
        </w:rPr>
        <w:t xml:space="preserve">(indeks 107,69) </w:t>
      </w:r>
      <w:r w:rsidR="005D393B">
        <w:rPr>
          <w:rFonts w:ascii="Titillium" w:hAnsi="Titillium" w:cs="Arial"/>
          <w:sz w:val="20"/>
          <w:szCs w:val="20"/>
        </w:rPr>
        <w:t>evidentirani su prihodi ostvareni od Hrvatske zaklade za znanost za financiranje istraživačkih projekata, plać</w:t>
      </w:r>
      <w:r w:rsidR="004D1FE6">
        <w:rPr>
          <w:rFonts w:ascii="Titillium" w:hAnsi="Titillium" w:cs="Arial"/>
          <w:sz w:val="20"/>
          <w:szCs w:val="20"/>
        </w:rPr>
        <w:t>a</w:t>
      </w:r>
      <w:r w:rsidR="005D393B">
        <w:rPr>
          <w:rFonts w:ascii="Titillium" w:hAnsi="Titillium" w:cs="Arial"/>
          <w:sz w:val="20"/>
          <w:szCs w:val="20"/>
        </w:rPr>
        <w:t xml:space="preserve"> </w:t>
      </w:r>
      <w:proofErr w:type="spellStart"/>
      <w:r w:rsidR="005D393B">
        <w:rPr>
          <w:rFonts w:ascii="Titillium" w:hAnsi="Titillium" w:cs="Arial"/>
          <w:sz w:val="20"/>
          <w:szCs w:val="20"/>
        </w:rPr>
        <w:t>doktoranada</w:t>
      </w:r>
      <w:proofErr w:type="spellEnd"/>
      <w:r w:rsidR="005D393B">
        <w:rPr>
          <w:rFonts w:ascii="Titillium" w:hAnsi="Titillium" w:cs="Arial"/>
          <w:sz w:val="20"/>
          <w:szCs w:val="20"/>
        </w:rPr>
        <w:t xml:space="preserve"> i odlazne mobilnosti asistenata. Na istom računu evidentirani su prihodi od nadležnog ministarstva za bilateralne projekte</w:t>
      </w:r>
      <w:r w:rsidR="004D1FE6">
        <w:rPr>
          <w:rFonts w:ascii="Titillium" w:hAnsi="Titillium" w:cs="Arial"/>
          <w:sz w:val="20"/>
          <w:szCs w:val="20"/>
        </w:rPr>
        <w:t xml:space="preserve"> i poticaji za prijavu projekata, refundacije rashoda primljene od Fonda za zaštitu okoliša i energetsku učinkovitost i prihod ostvaren od Agronomskog fakulteta Sveučilišta u Zagrebu za projekt</w:t>
      </w:r>
      <w:r w:rsidR="00DC32C9">
        <w:rPr>
          <w:rFonts w:ascii="Titillium" w:hAnsi="Titillium" w:cs="Arial"/>
          <w:sz w:val="20"/>
          <w:szCs w:val="20"/>
        </w:rPr>
        <w:t xml:space="preserve"> </w:t>
      </w:r>
      <w:r w:rsidR="00DC32C9" w:rsidRPr="00DC32C9">
        <w:rPr>
          <w:rFonts w:ascii="Titillium" w:hAnsi="Titillium" w:cs="Arial"/>
          <w:i/>
          <w:sz w:val="20"/>
          <w:szCs w:val="20"/>
        </w:rPr>
        <w:t>Was2Grow</w:t>
      </w:r>
      <w:r w:rsidR="004D1FE6">
        <w:rPr>
          <w:rFonts w:ascii="Titillium" w:hAnsi="Titillium" w:cs="Arial"/>
          <w:sz w:val="20"/>
          <w:szCs w:val="20"/>
        </w:rPr>
        <w:t xml:space="preserve"> </w:t>
      </w:r>
      <w:r w:rsidR="00DC32C9">
        <w:rPr>
          <w:rFonts w:ascii="Titillium" w:hAnsi="Titillium" w:cs="Arial"/>
          <w:sz w:val="20"/>
          <w:szCs w:val="20"/>
        </w:rPr>
        <w:t>iz NPOO Poziva „Ciljana znanstvena istraživanja“</w:t>
      </w:r>
      <w:r w:rsidR="004D1FE6">
        <w:rPr>
          <w:rFonts w:ascii="Titillium" w:hAnsi="Titillium" w:cs="Arial"/>
          <w:sz w:val="20"/>
          <w:szCs w:val="20"/>
        </w:rPr>
        <w:t>.</w:t>
      </w:r>
      <w:r w:rsidR="00353003">
        <w:rPr>
          <w:rFonts w:ascii="Titillium" w:hAnsi="Titillium" w:cs="Arial"/>
          <w:sz w:val="20"/>
          <w:szCs w:val="20"/>
        </w:rPr>
        <w:t xml:space="preserve"> </w:t>
      </w:r>
    </w:p>
    <w:p w:rsidR="00537C51" w:rsidRDefault="00537C51" w:rsidP="00537C51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D16990">
        <w:rPr>
          <w:rFonts w:ascii="Titillium" w:hAnsi="Titillium" w:cs="Arial"/>
          <w:sz w:val="20"/>
          <w:szCs w:val="20"/>
        </w:rPr>
        <w:t>Na računu 641</w:t>
      </w:r>
      <w:r w:rsidR="003C48B0" w:rsidRPr="00D16990">
        <w:rPr>
          <w:rFonts w:ascii="Titillium" w:hAnsi="Titillium" w:cs="Arial"/>
          <w:sz w:val="20"/>
          <w:szCs w:val="20"/>
        </w:rPr>
        <w:t>5</w:t>
      </w:r>
      <w:r w:rsidRPr="00D16990">
        <w:rPr>
          <w:rFonts w:ascii="Titillium" w:hAnsi="Titillium" w:cs="Arial"/>
          <w:sz w:val="20"/>
          <w:szCs w:val="20"/>
        </w:rPr>
        <w:t xml:space="preserve"> evidentirani su prihodi </w:t>
      </w:r>
      <w:r w:rsidR="0039494F" w:rsidRPr="00D16990">
        <w:rPr>
          <w:rFonts w:ascii="Titillium" w:hAnsi="Titillium" w:cs="Arial"/>
          <w:sz w:val="20"/>
          <w:szCs w:val="20"/>
        </w:rPr>
        <w:t>od pozitivnih tečajnih razlika</w:t>
      </w:r>
      <w:r w:rsidR="00802603" w:rsidRPr="00D16990">
        <w:rPr>
          <w:rFonts w:ascii="Titillium" w:hAnsi="Titillium" w:cs="Arial"/>
          <w:sz w:val="20"/>
          <w:szCs w:val="20"/>
        </w:rPr>
        <w:t xml:space="preserve"> ostvaren</w:t>
      </w:r>
      <w:r w:rsidR="00A1391A" w:rsidRPr="00D16990">
        <w:rPr>
          <w:rFonts w:ascii="Titillium" w:hAnsi="Titillium" w:cs="Arial"/>
          <w:sz w:val="20"/>
          <w:szCs w:val="20"/>
        </w:rPr>
        <w:t>i</w:t>
      </w:r>
      <w:r w:rsidR="00802603" w:rsidRPr="00D16990">
        <w:rPr>
          <w:rFonts w:ascii="Titillium" w:hAnsi="Titillium" w:cs="Arial"/>
          <w:sz w:val="20"/>
          <w:szCs w:val="20"/>
        </w:rPr>
        <w:t xml:space="preserve"> </w:t>
      </w:r>
      <w:r w:rsidR="00A1391A" w:rsidRPr="00D16990">
        <w:rPr>
          <w:rFonts w:ascii="Titillium" w:hAnsi="Titillium" w:cs="Arial"/>
          <w:sz w:val="20"/>
          <w:szCs w:val="20"/>
        </w:rPr>
        <w:t>zbog</w:t>
      </w:r>
      <w:r w:rsidR="00802603" w:rsidRPr="00D16990">
        <w:rPr>
          <w:rFonts w:ascii="Titillium" w:hAnsi="Titillium" w:cs="Arial"/>
          <w:sz w:val="20"/>
          <w:szCs w:val="20"/>
        </w:rPr>
        <w:t xml:space="preserve"> tečajni</w:t>
      </w:r>
      <w:r w:rsidR="00A1391A" w:rsidRPr="00D16990">
        <w:rPr>
          <w:rFonts w:ascii="Titillium" w:hAnsi="Titillium" w:cs="Arial"/>
          <w:sz w:val="20"/>
          <w:szCs w:val="20"/>
        </w:rPr>
        <w:t>h</w:t>
      </w:r>
      <w:r w:rsidR="00802603" w:rsidRPr="00D16990">
        <w:rPr>
          <w:rFonts w:ascii="Titillium" w:hAnsi="Titillium" w:cs="Arial"/>
          <w:sz w:val="20"/>
          <w:szCs w:val="20"/>
        </w:rPr>
        <w:t xml:space="preserve"> razlika tijekom 2024. na valuti USD</w:t>
      </w:r>
      <w:r w:rsidR="004D1FE6">
        <w:rPr>
          <w:rFonts w:ascii="Titillium" w:hAnsi="Titillium" w:cs="Arial"/>
          <w:sz w:val="20"/>
          <w:szCs w:val="20"/>
        </w:rPr>
        <w:t>, AUD i CHF</w:t>
      </w:r>
      <w:r w:rsidR="005D27C9">
        <w:rPr>
          <w:rFonts w:ascii="Titillium" w:hAnsi="Titillium" w:cs="Arial"/>
          <w:sz w:val="20"/>
          <w:szCs w:val="20"/>
        </w:rPr>
        <w:t xml:space="preserve"> u iznosu od 13.731,26</w:t>
      </w:r>
      <w:r w:rsidR="004D1FE6">
        <w:rPr>
          <w:rFonts w:ascii="Titillium" w:hAnsi="Titillium" w:cs="Arial"/>
          <w:sz w:val="20"/>
          <w:szCs w:val="20"/>
        </w:rPr>
        <w:t>.</w:t>
      </w:r>
      <w:r w:rsidR="0024553B">
        <w:rPr>
          <w:rFonts w:ascii="Titillium" w:hAnsi="Titillium" w:cs="Arial"/>
          <w:sz w:val="20"/>
          <w:szCs w:val="20"/>
        </w:rPr>
        <w:t xml:space="preserve"> </w:t>
      </w:r>
      <w:r w:rsidR="00A957AA">
        <w:rPr>
          <w:rFonts w:ascii="Titillium" w:hAnsi="Titillium" w:cs="Arial"/>
          <w:sz w:val="20"/>
          <w:szCs w:val="20"/>
        </w:rPr>
        <w:t>Na istom računu</w:t>
      </w:r>
      <w:r w:rsidR="00FC0310" w:rsidRPr="00D16990">
        <w:rPr>
          <w:rFonts w:ascii="Titillium" w:hAnsi="Titillium" w:cs="Arial"/>
          <w:sz w:val="20"/>
          <w:szCs w:val="20"/>
        </w:rPr>
        <w:t xml:space="preserve"> prethodne godine bio je </w:t>
      </w:r>
      <w:r w:rsidR="00EF14C0" w:rsidRPr="00D16990">
        <w:rPr>
          <w:rFonts w:ascii="Titillium" w:hAnsi="Titillium" w:cs="Arial"/>
          <w:sz w:val="20"/>
          <w:szCs w:val="20"/>
        </w:rPr>
        <w:t>evidentiran iznos od</w:t>
      </w:r>
      <w:r w:rsidR="0024553B">
        <w:rPr>
          <w:rFonts w:ascii="Titillium" w:hAnsi="Titillium" w:cs="Arial"/>
          <w:sz w:val="20"/>
          <w:szCs w:val="20"/>
        </w:rPr>
        <w:t xml:space="preserve"> </w:t>
      </w:r>
      <w:r w:rsidR="004D1FE6">
        <w:rPr>
          <w:rFonts w:ascii="Titillium" w:hAnsi="Titillium" w:cs="Arial"/>
          <w:sz w:val="20"/>
          <w:szCs w:val="20"/>
        </w:rPr>
        <w:t>4.241,82 EUR</w:t>
      </w:r>
      <w:r w:rsidR="003C48B0" w:rsidRPr="00D16990">
        <w:rPr>
          <w:rFonts w:ascii="Titillium" w:hAnsi="Titillium" w:cs="Arial"/>
          <w:sz w:val="20"/>
          <w:szCs w:val="20"/>
        </w:rPr>
        <w:t xml:space="preserve"> zbog čega je indeks u odnosu na prethodnu godinu </w:t>
      </w:r>
      <w:r w:rsidR="004D1FE6">
        <w:rPr>
          <w:rFonts w:ascii="Titillium" w:hAnsi="Titillium" w:cs="Arial"/>
          <w:sz w:val="20"/>
          <w:szCs w:val="20"/>
        </w:rPr>
        <w:t>323,7</w:t>
      </w:r>
      <w:r w:rsidR="0024553B">
        <w:rPr>
          <w:rFonts w:ascii="Titillium" w:hAnsi="Titillium" w:cs="Arial"/>
          <w:sz w:val="20"/>
          <w:szCs w:val="20"/>
        </w:rPr>
        <w:t>.</w:t>
      </w:r>
    </w:p>
    <w:p w:rsidR="004143CB" w:rsidRPr="00D16990" w:rsidRDefault="004143CB" w:rsidP="00537C51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 xml:space="preserve">Na računu 6416 – Prihodi od dividendi evidentiran je iznos od 6.517,00 EUR primljen od Središnjeg klirinškog društva za dionice Zagrebačke banke te indeks iznosi </w:t>
      </w:r>
      <w:r w:rsidR="00DB3F7B">
        <w:rPr>
          <w:rFonts w:ascii="Titillium" w:hAnsi="Titillium" w:cs="Arial"/>
          <w:sz w:val="20"/>
          <w:szCs w:val="20"/>
        </w:rPr>
        <w:t>82,8</w:t>
      </w:r>
      <w:r>
        <w:rPr>
          <w:rFonts w:ascii="Titillium" w:hAnsi="Titillium" w:cs="Arial"/>
          <w:sz w:val="20"/>
          <w:szCs w:val="20"/>
        </w:rPr>
        <w:t xml:space="preserve"> u odnosu na isto razdoblje prošle godine kada je </w:t>
      </w:r>
      <w:r w:rsidR="00DB3F7B">
        <w:rPr>
          <w:rFonts w:ascii="Titillium" w:hAnsi="Titillium" w:cs="Arial"/>
          <w:sz w:val="20"/>
          <w:szCs w:val="20"/>
        </w:rPr>
        <w:t>prihod</w:t>
      </w:r>
      <w:r>
        <w:rPr>
          <w:rFonts w:ascii="Titillium" w:hAnsi="Titillium" w:cs="Arial"/>
          <w:sz w:val="20"/>
          <w:szCs w:val="20"/>
        </w:rPr>
        <w:t xml:space="preserve"> bio </w:t>
      </w:r>
      <w:r w:rsidR="00DB3F7B">
        <w:rPr>
          <w:rFonts w:ascii="Titillium" w:hAnsi="Titillium" w:cs="Arial"/>
          <w:sz w:val="20"/>
          <w:szCs w:val="20"/>
        </w:rPr>
        <w:t>7.866,95</w:t>
      </w:r>
      <w:r>
        <w:rPr>
          <w:rFonts w:ascii="Titillium" w:hAnsi="Titillium" w:cs="Arial"/>
          <w:sz w:val="20"/>
          <w:szCs w:val="20"/>
        </w:rPr>
        <w:t xml:space="preserve"> EUR.</w:t>
      </w:r>
    </w:p>
    <w:p w:rsidR="004C722C" w:rsidRPr="00A16AAB" w:rsidRDefault="004C722C" w:rsidP="00D169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tillium" w:hAnsi="Titillium" w:cs="Arial"/>
          <w:sz w:val="20"/>
          <w:szCs w:val="20"/>
        </w:rPr>
      </w:pPr>
      <w:r w:rsidRPr="00D16990">
        <w:rPr>
          <w:rFonts w:ascii="Titillium" w:hAnsi="Titillium" w:cs="Arial"/>
          <w:sz w:val="20"/>
          <w:szCs w:val="20"/>
        </w:rPr>
        <w:t>Na računu 652</w:t>
      </w:r>
      <w:r w:rsidR="00D92F21" w:rsidRPr="00D16990">
        <w:rPr>
          <w:rFonts w:ascii="Titillium" w:hAnsi="Titillium" w:cs="Arial"/>
          <w:sz w:val="20"/>
          <w:szCs w:val="20"/>
        </w:rPr>
        <w:t>6</w:t>
      </w:r>
      <w:r w:rsidRPr="00D16990">
        <w:rPr>
          <w:rFonts w:ascii="Titillium" w:hAnsi="Titillium" w:cs="Arial"/>
          <w:sz w:val="20"/>
          <w:szCs w:val="20"/>
        </w:rPr>
        <w:t xml:space="preserve"> - Prihodi po posebnim propisima u iznosu od </w:t>
      </w:r>
      <w:r w:rsidR="0099155E">
        <w:rPr>
          <w:rFonts w:ascii="Titillium" w:hAnsi="Titillium" w:cs="Arial"/>
          <w:sz w:val="20"/>
          <w:szCs w:val="20"/>
        </w:rPr>
        <w:t>2.680,90</w:t>
      </w:r>
      <w:r w:rsidR="00C3665D" w:rsidRPr="00D16990">
        <w:rPr>
          <w:rFonts w:ascii="Titillium" w:hAnsi="Titillium" w:cs="Arial"/>
          <w:sz w:val="20"/>
          <w:szCs w:val="20"/>
        </w:rPr>
        <w:t xml:space="preserve"> EUR</w:t>
      </w:r>
      <w:r w:rsidRPr="00D16990">
        <w:rPr>
          <w:rFonts w:ascii="Titillium" w:hAnsi="Titillium" w:cs="Arial"/>
          <w:sz w:val="20"/>
          <w:szCs w:val="20"/>
        </w:rPr>
        <w:t xml:space="preserve"> </w:t>
      </w:r>
      <w:r w:rsidR="00D16990" w:rsidRPr="00D16990">
        <w:rPr>
          <w:rFonts w:ascii="Titillium" w:hAnsi="Titillium" w:cs="Arial"/>
          <w:sz w:val="20"/>
          <w:szCs w:val="20"/>
        </w:rPr>
        <w:t xml:space="preserve">(indeks </w:t>
      </w:r>
      <w:r w:rsidR="0099155E">
        <w:rPr>
          <w:rFonts w:ascii="Titillium" w:hAnsi="Titillium" w:cs="Arial"/>
          <w:sz w:val="20"/>
          <w:szCs w:val="20"/>
        </w:rPr>
        <w:t>53,8</w:t>
      </w:r>
      <w:r w:rsidR="00D16990" w:rsidRPr="00D16990">
        <w:rPr>
          <w:rFonts w:ascii="Titillium" w:hAnsi="Titillium" w:cs="Arial"/>
          <w:sz w:val="20"/>
          <w:szCs w:val="20"/>
        </w:rPr>
        <w:t xml:space="preserve">) </w:t>
      </w:r>
      <w:r w:rsidRPr="00D16990">
        <w:rPr>
          <w:rFonts w:ascii="Titillium" w:hAnsi="Titillium" w:cs="Arial"/>
          <w:sz w:val="20"/>
          <w:szCs w:val="20"/>
        </w:rPr>
        <w:t xml:space="preserve">evidentirani su prihodi </w:t>
      </w:r>
      <w:r w:rsidR="00D92F21" w:rsidRPr="00D16990">
        <w:rPr>
          <w:rFonts w:ascii="Titillium" w:hAnsi="Titillium" w:cs="Arial"/>
          <w:sz w:val="20"/>
          <w:szCs w:val="20"/>
        </w:rPr>
        <w:t xml:space="preserve">od naknada štete u iznosu od </w:t>
      </w:r>
      <w:r w:rsidR="00545F55">
        <w:rPr>
          <w:rFonts w:ascii="Titillium" w:hAnsi="Titillium" w:cs="Arial"/>
          <w:sz w:val="20"/>
          <w:szCs w:val="20"/>
        </w:rPr>
        <w:t>290,00</w:t>
      </w:r>
      <w:r w:rsidR="00D92F21" w:rsidRPr="00D16990">
        <w:rPr>
          <w:rFonts w:ascii="Titillium" w:hAnsi="Titillium" w:cs="Arial"/>
          <w:sz w:val="20"/>
          <w:szCs w:val="20"/>
        </w:rPr>
        <w:t xml:space="preserve"> EUR</w:t>
      </w:r>
      <w:r w:rsidR="00545F55">
        <w:rPr>
          <w:rFonts w:ascii="Titillium" w:hAnsi="Titillium" w:cs="Arial"/>
          <w:sz w:val="20"/>
          <w:szCs w:val="20"/>
        </w:rPr>
        <w:t xml:space="preserve">, povrat za mirovinsko osiguranje 4,80 EUR </w:t>
      </w:r>
      <w:r w:rsidR="00D92F21" w:rsidRPr="00D16990">
        <w:rPr>
          <w:rFonts w:ascii="Titillium" w:hAnsi="Titillium" w:cs="Arial"/>
          <w:sz w:val="20"/>
          <w:szCs w:val="20"/>
        </w:rPr>
        <w:t>i sufinanciranje čajne kuhinje u iznosu od 2.</w:t>
      </w:r>
      <w:r w:rsidR="005816B8">
        <w:rPr>
          <w:rFonts w:ascii="Titillium" w:hAnsi="Titillium" w:cs="Arial"/>
          <w:sz w:val="20"/>
          <w:szCs w:val="20"/>
        </w:rPr>
        <w:t>386,10</w:t>
      </w:r>
      <w:r w:rsidR="00D92F21" w:rsidRPr="00D16990">
        <w:rPr>
          <w:rFonts w:ascii="Titillium" w:hAnsi="Titillium" w:cs="Arial"/>
          <w:sz w:val="20"/>
          <w:szCs w:val="20"/>
        </w:rPr>
        <w:t xml:space="preserve"> EUR</w:t>
      </w:r>
      <w:r w:rsidR="00325169">
        <w:rPr>
          <w:rFonts w:ascii="Titillium" w:hAnsi="Titillium" w:cs="Arial"/>
          <w:sz w:val="20"/>
          <w:szCs w:val="20"/>
        </w:rPr>
        <w:t>.</w:t>
      </w:r>
      <w:r w:rsidR="000B586A">
        <w:rPr>
          <w:rFonts w:ascii="Titillium" w:hAnsi="Titillium" w:cs="Arial"/>
          <w:sz w:val="20"/>
          <w:szCs w:val="20"/>
        </w:rPr>
        <w:t xml:space="preserve"> Indeks u odnosu na prethodnu godinu iznosi 53,8 jer je prethodne godine na ovom računu bile evidentirane i pomoći zaklade HAZU u iznosu od 1500,00 EUR.</w:t>
      </w:r>
    </w:p>
    <w:p w:rsidR="0067382A" w:rsidRDefault="0067382A" w:rsidP="0067382A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A16AAB">
        <w:rPr>
          <w:rFonts w:ascii="Titillium" w:hAnsi="Titillium" w:cs="Arial"/>
          <w:sz w:val="20"/>
          <w:szCs w:val="20"/>
        </w:rPr>
        <w:lastRenderedPageBreak/>
        <w:t xml:space="preserve">Prihodi od pruženih usluga u iznosu od </w:t>
      </w:r>
      <w:r w:rsidR="006F68C6">
        <w:rPr>
          <w:rFonts w:ascii="Titillium" w:hAnsi="Titillium" w:cs="Arial"/>
          <w:sz w:val="20"/>
          <w:szCs w:val="20"/>
        </w:rPr>
        <w:t>1.</w:t>
      </w:r>
      <w:r w:rsidR="000B586A">
        <w:rPr>
          <w:rFonts w:ascii="Titillium" w:hAnsi="Titillium" w:cs="Arial"/>
          <w:sz w:val="20"/>
          <w:szCs w:val="20"/>
        </w:rPr>
        <w:t>929.366,32</w:t>
      </w:r>
      <w:r w:rsidR="00FC0310">
        <w:rPr>
          <w:rFonts w:ascii="Titillium" w:hAnsi="Titillium" w:cs="Arial"/>
          <w:sz w:val="20"/>
          <w:szCs w:val="20"/>
        </w:rPr>
        <w:t xml:space="preserve"> EUR</w:t>
      </w:r>
      <w:r w:rsidRPr="00A16AAB">
        <w:rPr>
          <w:rFonts w:ascii="Titillium" w:hAnsi="Titillium" w:cs="Arial"/>
          <w:sz w:val="20"/>
          <w:szCs w:val="20"/>
        </w:rPr>
        <w:t xml:space="preserve"> evidentirani su na računu 661</w:t>
      </w:r>
      <w:r w:rsidR="00207345" w:rsidRPr="00A16AAB">
        <w:rPr>
          <w:rFonts w:ascii="Titillium" w:hAnsi="Titillium" w:cs="Arial"/>
          <w:sz w:val="20"/>
          <w:szCs w:val="20"/>
        </w:rPr>
        <w:t>5</w:t>
      </w:r>
      <w:r w:rsidRPr="00A16AAB">
        <w:rPr>
          <w:rFonts w:ascii="Titillium" w:hAnsi="Titillium" w:cs="Arial"/>
          <w:sz w:val="20"/>
          <w:szCs w:val="20"/>
        </w:rPr>
        <w:t>.</w:t>
      </w:r>
      <w:r w:rsidR="005F358D">
        <w:rPr>
          <w:rFonts w:ascii="Titillium" w:hAnsi="Titillium" w:cs="Arial"/>
          <w:sz w:val="20"/>
          <w:szCs w:val="20"/>
        </w:rPr>
        <w:t xml:space="preserve"> U odnosu na prethodnu godinu </w:t>
      </w:r>
      <w:r w:rsidR="00A1391A">
        <w:rPr>
          <w:rFonts w:ascii="Titillium" w:hAnsi="Titillium" w:cs="Arial"/>
          <w:sz w:val="20"/>
          <w:szCs w:val="20"/>
        </w:rPr>
        <w:t>ostvaren</w:t>
      </w:r>
      <w:r w:rsidR="005F358D">
        <w:rPr>
          <w:rFonts w:ascii="Titillium" w:hAnsi="Titillium" w:cs="Arial"/>
          <w:sz w:val="20"/>
          <w:szCs w:val="20"/>
        </w:rPr>
        <w:t xml:space="preserve"> je indeks </w:t>
      </w:r>
      <w:r w:rsidR="006F68C6">
        <w:rPr>
          <w:rFonts w:ascii="Titillium" w:hAnsi="Titillium" w:cs="Arial"/>
          <w:sz w:val="20"/>
          <w:szCs w:val="20"/>
        </w:rPr>
        <w:t>12</w:t>
      </w:r>
      <w:r w:rsidR="000B586A">
        <w:rPr>
          <w:rFonts w:ascii="Titillium" w:hAnsi="Titillium" w:cs="Arial"/>
          <w:sz w:val="20"/>
          <w:szCs w:val="20"/>
        </w:rPr>
        <w:t>6,8</w:t>
      </w:r>
      <w:r w:rsidR="005F358D">
        <w:rPr>
          <w:rFonts w:ascii="Titillium" w:hAnsi="Titillium" w:cs="Arial"/>
          <w:sz w:val="20"/>
          <w:szCs w:val="20"/>
        </w:rPr>
        <w:t xml:space="preserve">. Razlog </w:t>
      </w:r>
      <w:r w:rsidR="0039042A">
        <w:rPr>
          <w:rFonts w:ascii="Titillium" w:hAnsi="Titillium" w:cs="Arial"/>
          <w:sz w:val="20"/>
          <w:szCs w:val="20"/>
        </w:rPr>
        <w:t xml:space="preserve">povećanje </w:t>
      </w:r>
      <w:r w:rsidR="005F358D">
        <w:rPr>
          <w:rFonts w:ascii="Titillium" w:hAnsi="Titillium" w:cs="Arial"/>
          <w:sz w:val="20"/>
          <w:szCs w:val="20"/>
        </w:rPr>
        <w:t>prihoda je</w:t>
      </w:r>
      <w:r w:rsidR="00E61224">
        <w:rPr>
          <w:rFonts w:ascii="Titillium" w:hAnsi="Titillium" w:cs="Arial"/>
          <w:sz w:val="20"/>
          <w:szCs w:val="20"/>
        </w:rPr>
        <w:t xml:space="preserve"> dinamika naplate </w:t>
      </w:r>
      <w:r w:rsidR="00F3417D">
        <w:rPr>
          <w:rFonts w:ascii="Titillium" w:hAnsi="Titillium" w:cs="Arial"/>
          <w:sz w:val="20"/>
          <w:szCs w:val="20"/>
        </w:rPr>
        <w:t xml:space="preserve">prihoda </w:t>
      </w:r>
      <w:r w:rsidR="00E61224">
        <w:rPr>
          <w:rFonts w:ascii="Titillium" w:hAnsi="Titillium" w:cs="Arial"/>
          <w:sz w:val="20"/>
          <w:szCs w:val="20"/>
        </w:rPr>
        <w:t xml:space="preserve">po </w:t>
      </w:r>
      <w:r w:rsidR="000B586A">
        <w:rPr>
          <w:rFonts w:ascii="Titillium" w:hAnsi="Titillium" w:cs="Arial"/>
          <w:sz w:val="20"/>
          <w:szCs w:val="20"/>
        </w:rPr>
        <w:t>zaključenim ugovorima sa kupcima</w:t>
      </w:r>
      <w:r w:rsidR="00216C24">
        <w:rPr>
          <w:rFonts w:ascii="Titillium" w:hAnsi="Titillium" w:cs="Arial"/>
          <w:sz w:val="20"/>
          <w:szCs w:val="20"/>
        </w:rPr>
        <w:t>.</w:t>
      </w:r>
    </w:p>
    <w:p w:rsidR="00EB5324" w:rsidRPr="00A16AAB" w:rsidRDefault="0015061A" w:rsidP="0067382A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 xml:space="preserve">Tekuće donacije na računu 6631 u izvještajnom razdoblju iznose </w:t>
      </w:r>
      <w:r w:rsidR="00601E14">
        <w:rPr>
          <w:rFonts w:ascii="Titillium" w:hAnsi="Titillium" w:cs="Arial"/>
          <w:sz w:val="20"/>
          <w:szCs w:val="20"/>
        </w:rPr>
        <w:t>139.219,99</w:t>
      </w:r>
      <w:r>
        <w:rPr>
          <w:rFonts w:ascii="Titillium" w:hAnsi="Titillium" w:cs="Arial"/>
          <w:sz w:val="20"/>
          <w:szCs w:val="20"/>
        </w:rPr>
        <w:t xml:space="preserve"> EUR (indeks </w:t>
      </w:r>
      <w:r w:rsidR="00774D24">
        <w:rPr>
          <w:rFonts w:ascii="Titillium" w:hAnsi="Titillium" w:cs="Arial"/>
          <w:sz w:val="20"/>
          <w:szCs w:val="20"/>
        </w:rPr>
        <w:t>183,8</w:t>
      </w:r>
      <w:r>
        <w:rPr>
          <w:rFonts w:ascii="Titillium" w:hAnsi="Titillium" w:cs="Arial"/>
          <w:sz w:val="20"/>
          <w:szCs w:val="20"/>
        </w:rPr>
        <w:t xml:space="preserve">). Od navedenog iznosa 1.600,00 EUR su donacije trgovačkih društava, a </w:t>
      </w:r>
      <w:r w:rsidR="00601E14">
        <w:rPr>
          <w:rFonts w:ascii="Titillium" w:hAnsi="Titillium" w:cs="Arial"/>
          <w:sz w:val="20"/>
          <w:szCs w:val="20"/>
        </w:rPr>
        <w:t>137.619,99</w:t>
      </w:r>
      <w:r>
        <w:rPr>
          <w:rFonts w:ascii="Titillium" w:hAnsi="Titillium" w:cs="Arial"/>
          <w:sz w:val="20"/>
          <w:szCs w:val="20"/>
        </w:rPr>
        <w:t xml:space="preserve"> EUR odnos</w:t>
      </w:r>
      <w:r w:rsidR="003458B5">
        <w:rPr>
          <w:rFonts w:ascii="Titillium" w:hAnsi="Titillium" w:cs="Arial"/>
          <w:sz w:val="20"/>
          <w:szCs w:val="20"/>
        </w:rPr>
        <w:t>i</w:t>
      </w:r>
      <w:r>
        <w:rPr>
          <w:rFonts w:ascii="Titillium" w:hAnsi="Titillium" w:cs="Arial"/>
          <w:sz w:val="20"/>
          <w:szCs w:val="20"/>
        </w:rPr>
        <w:t xml:space="preserve"> se na primljene uplate od trgovačkog društva za </w:t>
      </w:r>
      <w:r w:rsidR="003458B5">
        <w:rPr>
          <w:rFonts w:ascii="Titillium" w:hAnsi="Titillium" w:cs="Arial"/>
          <w:sz w:val="20"/>
          <w:szCs w:val="20"/>
        </w:rPr>
        <w:t xml:space="preserve">rad na </w:t>
      </w:r>
      <w:r>
        <w:rPr>
          <w:rFonts w:ascii="Titillium" w:hAnsi="Titillium" w:cs="Arial"/>
          <w:sz w:val="20"/>
          <w:szCs w:val="20"/>
        </w:rPr>
        <w:t>projekt</w:t>
      </w:r>
      <w:r w:rsidR="003458B5">
        <w:rPr>
          <w:rFonts w:ascii="Titillium" w:hAnsi="Titillium" w:cs="Arial"/>
          <w:sz w:val="20"/>
          <w:szCs w:val="20"/>
        </w:rPr>
        <w:t>u</w:t>
      </w:r>
      <w:r>
        <w:rPr>
          <w:rFonts w:ascii="Titillium" w:hAnsi="Titillium" w:cs="Arial"/>
          <w:sz w:val="20"/>
          <w:szCs w:val="20"/>
        </w:rPr>
        <w:t xml:space="preserve"> JAMINNO</w:t>
      </w:r>
      <w:r w:rsidR="003458B5">
        <w:rPr>
          <w:rFonts w:ascii="Titillium" w:hAnsi="Titillium" w:cs="Arial"/>
          <w:sz w:val="20"/>
          <w:szCs w:val="20"/>
        </w:rPr>
        <w:t xml:space="preserve"> </w:t>
      </w:r>
      <w:r w:rsidR="00601E14">
        <w:rPr>
          <w:rFonts w:ascii="Titillium" w:hAnsi="Titillium" w:cs="Arial"/>
          <w:sz w:val="20"/>
          <w:szCs w:val="20"/>
        </w:rPr>
        <w:t xml:space="preserve">za koji je u srpnju 2024. primljena posljednja uplata </w:t>
      </w:r>
      <w:r w:rsidR="00774D24">
        <w:rPr>
          <w:rFonts w:ascii="Titillium" w:hAnsi="Titillium" w:cs="Arial"/>
          <w:sz w:val="20"/>
          <w:szCs w:val="20"/>
        </w:rPr>
        <w:t>nakon</w:t>
      </w:r>
      <w:r w:rsidR="00601E14">
        <w:rPr>
          <w:rFonts w:ascii="Titillium" w:hAnsi="Titillium" w:cs="Arial"/>
          <w:sz w:val="20"/>
          <w:szCs w:val="20"/>
        </w:rPr>
        <w:t xml:space="preserve"> završetka provedbe projekta.</w:t>
      </w:r>
    </w:p>
    <w:p w:rsidR="004608B4" w:rsidRDefault="00F85BA7" w:rsidP="004B6A08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A16AAB">
        <w:rPr>
          <w:rFonts w:ascii="Titillium" w:hAnsi="Titillium" w:cs="Arial"/>
          <w:sz w:val="20"/>
          <w:szCs w:val="20"/>
        </w:rPr>
        <w:t xml:space="preserve">Na računu 671 evidentirani su prihodi iz nadležnog proračuna za financiranje redovne djelatnosti Instituta u iznosu od </w:t>
      </w:r>
      <w:r w:rsidR="003C5E17">
        <w:rPr>
          <w:rFonts w:ascii="Titillium" w:hAnsi="Titillium" w:cs="Arial"/>
          <w:sz w:val="20"/>
          <w:szCs w:val="20"/>
        </w:rPr>
        <w:t>8</w:t>
      </w:r>
      <w:r w:rsidR="00E974EC">
        <w:rPr>
          <w:rFonts w:ascii="Titillium" w:hAnsi="Titillium" w:cs="Arial"/>
          <w:sz w:val="20"/>
          <w:szCs w:val="20"/>
        </w:rPr>
        <w:t>.</w:t>
      </w:r>
      <w:r w:rsidR="003C5E17">
        <w:rPr>
          <w:rFonts w:ascii="Titillium" w:hAnsi="Titillium" w:cs="Arial"/>
          <w:sz w:val="20"/>
          <w:szCs w:val="20"/>
        </w:rPr>
        <w:t>930</w:t>
      </w:r>
      <w:r w:rsidR="00E974EC">
        <w:rPr>
          <w:rFonts w:ascii="Titillium" w:hAnsi="Titillium" w:cs="Arial"/>
          <w:sz w:val="20"/>
          <w:szCs w:val="20"/>
        </w:rPr>
        <w:t>.</w:t>
      </w:r>
      <w:r w:rsidR="003C5E17">
        <w:rPr>
          <w:rFonts w:ascii="Titillium" w:hAnsi="Titillium" w:cs="Arial"/>
          <w:sz w:val="20"/>
          <w:szCs w:val="20"/>
        </w:rPr>
        <w:t>186,17</w:t>
      </w:r>
      <w:r w:rsidR="00DA00F0">
        <w:rPr>
          <w:rFonts w:ascii="Titillium" w:hAnsi="Titillium" w:cs="Arial"/>
          <w:sz w:val="20"/>
          <w:szCs w:val="20"/>
        </w:rPr>
        <w:t xml:space="preserve"> EUR</w:t>
      </w:r>
      <w:r w:rsidR="0039042A">
        <w:rPr>
          <w:rFonts w:ascii="Titillium" w:hAnsi="Titillium" w:cs="Arial"/>
          <w:sz w:val="20"/>
          <w:szCs w:val="20"/>
        </w:rPr>
        <w:t xml:space="preserve"> (indeks </w:t>
      </w:r>
      <w:r w:rsidR="00E974EC">
        <w:rPr>
          <w:rFonts w:ascii="Titillium" w:hAnsi="Titillium" w:cs="Arial"/>
          <w:sz w:val="20"/>
          <w:szCs w:val="20"/>
        </w:rPr>
        <w:t>14</w:t>
      </w:r>
      <w:r w:rsidR="003C5E17">
        <w:rPr>
          <w:rFonts w:ascii="Titillium" w:hAnsi="Titillium" w:cs="Arial"/>
          <w:sz w:val="20"/>
          <w:szCs w:val="20"/>
        </w:rPr>
        <w:t>9,8</w:t>
      </w:r>
      <w:r w:rsidR="00490E53">
        <w:rPr>
          <w:rFonts w:ascii="Titillium" w:hAnsi="Titillium" w:cs="Arial"/>
          <w:sz w:val="20"/>
          <w:szCs w:val="20"/>
        </w:rPr>
        <w:t xml:space="preserve">). Prihodi za financiranje rashoda poslovanja </w:t>
      </w:r>
      <w:r w:rsidR="00A1391A">
        <w:rPr>
          <w:rFonts w:ascii="Titillium" w:hAnsi="Titillium" w:cs="Arial"/>
          <w:sz w:val="20"/>
          <w:szCs w:val="20"/>
        </w:rPr>
        <w:t xml:space="preserve">na računu 6711 </w:t>
      </w:r>
      <w:r w:rsidR="00313EB2">
        <w:rPr>
          <w:rFonts w:ascii="Titillium" w:hAnsi="Titillium" w:cs="Arial"/>
          <w:sz w:val="20"/>
          <w:szCs w:val="20"/>
        </w:rPr>
        <w:t xml:space="preserve">veći od prošlogodišnjih </w:t>
      </w:r>
      <w:r w:rsidR="00490E53">
        <w:rPr>
          <w:rFonts w:ascii="Titillium" w:hAnsi="Titillium" w:cs="Arial"/>
          <w:sz w:val="20"/>
          <w:szCs w:val="20"/>
        </w:rPr>
        <w:t xml:space="preserve">zbog </w:t>
      </w:r>
      <w:r w:rsidR="003C5E17">
        <w:rPr>
          <w:rFonts w:ascii="Titillium" w:hAnsi="Titillium" w:cs="Arial"/>
          <w:sz w:val="20"/>
          <w:szCs w:val="20"/>
        </w:rPr>
        <w:t xml:space="preserve">zaključivanja </w:t>
      </w:r>
      <w:r w:rsidR="003C5E17" w:rsidRPr="00490332">
        <w:rPr>
          <w:rStyle w:val="st1"/>
          <w:rFonts w:ascii="Titillium" w:hAnsi="Titillium" w:cs="Arial"/>
          <w:sz w:val="20"/>
          <w:szCs w:val="20"/>
        </w:rPr>
        <w:t>Programsko</w:t>
      </w:r>
      <w:r w:rsidR="003C5E17">
        <w:rPr>
          <w:rStyle w:val="st1"/>
          <w:rFonts w:ascii="Titillium" w:hAnsi="Titillium" w:cs="Arial"/>
          <w:sz w:val="20"/>
          <w:szCs w:val="20"/>
        </w:rPr>
        <w:t>g</w:t>
      </w:r>
      <w:r w:rsidR="003C5E17" w:rsidRPr="00490332">
        <w:rPr>
          <w:rStyle w:val="st1"/>
          <w:rFonts w:ascii="Titillium" w:hAnsi="Titillium" w:cs="Arial"/>
          <w:sz w:val="20"/>
          <w:szCs w:val="20"/>
        </w:rPr>
        <w:t xml:space="preserve"> ugovor</w:t>
      </w:r>
      <w:r w:rsidR="003C5E17">
        <w:rPr>
          <w:rStyle w:val="st1"/>
          <w:rFonts w:ascii="Titillium" w:hAnsi="Titillium" w:cs="Arial"/>
          <w:sz w:val="20"/>
          <w:szCs w:val="20"/>
        </w:rPr>
        <w:t>a</w:t>
      </w:r>
      <w:r w:rsidR="003C5E17" w:rsidRPr="00490332">
        <w:rPr>
          <w:rStyle w:val="st1"/>
          <w:rFonts w:ascii="Titillium" w:hAnsi="Titillium" w:cs="Arial"/>
          <w:sz w:val="20"/>
          <w:szCs w:val="20"/>
        </w:rPr>
        <w:t xml:space="preserve"> o višegodišnjem financiranju Instituta</w:t>
      </w:r>
      <w:r w:rsidR="003C5E17">
        <w:rPr>
          <w:rStyle w:val="st1"/>
          <w:rFonts w:ascii="Titillium" w:hAnsi="Titillium" w:cs="Arial"/>
          <w:sz w:val="20"/>
          <w:szCs w:val="20"/>
        </w:rPr>
        <w:t xml:space="preserve"> i </w:t>
      </w:r>
      <w:r w:rsidR="003C5E17">
        <w:rPr>
          <w:rFonts w:ascii="Titillium" w:hAnsi="Titillium" w:cs="Arial"/>
          <w:sz w:val="20"/>
          <w:szCs w:val="20"/>
        </w:rPr>
        <w:t xml:space="preserve">povećanja mase plaća </w:t>
      </w:r>
      <w:r w:rsidR="00CC236B">
        <w:rPr>
          <w:rFonts w:ascii="Titillium" w:hAnsi="Titillium" w:cs="Arial"/>
          <w:sz w:val="20"/>
          <w:szCs w:val="20"/>
        </w:rPr>
        <w:t>nakon donošenja Uredbe o nazivima radnih mjesta, uvjetima za raspored i koeficijentima za obračun plaće u javnim službama. S</w:t>
      </w:r>
      <w:r w:rsidR="009C6DF9" w:rsidRPr="00A16AAB">
        <w:rPr>
          <w:rFonts w:ascii="Titillium" w:hAnsi="Titillium" w:cs="Arial"/>
          <w:sz w:val="20"/>
          <w:szCs w:val="20"/>
        </w:rPr>
        <w:t>redstva nacionalnog sufinanciranja za projekte financirane iz europskih fondova</w:t>
      </w:r>
      <w:r w:rsidR="009C6DF9">
        <w:rPr>
          <w:rFonts w:ascii="Titillium" w:hAnsi="Titillium" w:cs="Arial"/>
          <w:sz w:val="20"/>
          <w:szCs w:val="20"/>
        </w:rPr>
        <w:t xml:space="preserve"> </w:t>
      </w:r>
      <w:r w:rsidR="00A1391A">
        <w:rPr>
          <w:rFonts w:ascii="Titillium" w:hAnsi="Titillium" w:cs="Arial"/>
          <w:sz w:val="20"/>
          <w:szCs w:val="20"/>
        </w:rPr>
        <w:t xml:space="preserve">na računu 6712 </w:t>
      </w:r>
      <w:r w:rsidR="003458B5">
        <w:rPr>
          <w:rFonts w:ascii="Titillium" w:hAnsi="Titillium" w:cs="Arial"/>
          <w:sz w:val="20"/>
          <w:szCs w:val="20"/>
        </w:rPr>
        <w:t xml:space="preserve">(indeks </w:t>
      </w:r>
      <w:r w:rsidR="00CC236B">
        <w:rPr>
          <w:rFonts w:ascii="Titillium" w:hAnsi="Titillium" w:cs="Arial"/>
          <w:sz w:val="20"/>
          <w:szCs w:val="20"/>
        </w:rPr>
        <w:t>393,7</w:t>
      </w:r>
      <w:r w:rsidR="003458B5">
        <w:rPr>
          <w:rFonts w:ascii="Titillium" w:hAnsi="Titillium" w:cs="Arial"/>
          <w:sz w:val="20"/>
          <w:szCs w:val="20"/>
        </w:rPr>
        <w:t xml:space="preserve">) odnose se na doznake iz državnog proračuna </w:t>
      </w:r>
      <w:r w:rsidR="00313EB2">
        <w:rPr>
          <w:rFonts w:ascii="Titillium" w:hAnsi="Titillium" w:cs="Arial"/>
          <w:sz w:val="20"/>
          <w:szCs w:val="20"/>
        </w:rPr>
        <w:t xml:space="preserve">za dovršetak konstrukcijske obnove sjeverne zgrade </w:t>
      </w:r>
      <w:r w:rsidR="009A2711">
        <w:rPr>
          <w:rFonts w:ascii="Titillium" w:hAnsi="Titillium" w:cs="Arial"/>
          <w:sz w:val="20"/>
          <w:szCs w:val="20"/>
        </w:rPr>
        <w:t>Instituta</w:t>
      </w:r>
      <w:r w:rsidR="00313EB2">
        <w:rPr>
          <w:rFonts w:ascii="Titillium" w:hAnsi="Titillium" w:cs="Arial"/>
          <w:sz w:val="20"/>
          <w:szCs w:val="20"/>
        </w:rPr>
        <w:t>.</w:t>
      </w:r>
    </w:p>
    <w:p w:rsidR="006869E6" w:rsidRPr="00A16AAB" w:rsidRDefault="006869E6" w:rsidP="006869E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 xml:space="preserve">Ostali prihodi u iznosu od 4.207,91 EUR evidentirani na računu 683 odnose se na </w:t>
      </w:r>
      <w:r w:rsidRPr="00D16990">
        <w:rPr>
          <w:rFonts w:ascii="Titillium" w:hAnsi="Titillium" w:cs="Arial"/>
          <w:sz w:val="20"/>
          <w:szCs w:val="20"/>
        </w:rPr>
        <w:t xml:space="preserve">refundacija rashoda iz prethodnih godina </w:t>
      </w:r>
      <w:r>
        <w:rPr>
          <w:rFonts w:ascii="Titillium" w:hAnsi="Titillium" w:cs="Arial"/>
          <w:sz w:val="20"/>
          <w:szCs w:val="20"/>
        </w:rPr>
        <w:t xml:space="preserve">temeljem usklade putem aplikacije SNU </w:t>
      </w:r>
      <w:r w:rsidRPr="00D16990">
        <w:rPr>
          <w:rFonts w:ascii="Titillium" w:hAnsi="Titillium" w:cs="Arial"/>
          <w:sz w:val="20"/>
          <w:szCs w:val="20"/>
        </w:rPr>
        <w:t>u iznosu od 2.51</w:t>
      </w:r>
      <w:r>
        <w:rPr>
          <w:rFonts w:ascii="Titillium" w:hAnsi="Titillium" w:cs="Arial"/>
          <w:sz w:val="20"/>
          <w:szCs w:val="20"/>
        </w:rPr>
        <w:t>3,33</w:t>
      </w:r>
      <w:r w:rsidRPr="00D16990">
        <w:rPr>
          <w:rFonts w:ascii="Titillium" w:hAnsi="Titillium" w:cs="Arial"/>
          <w:sz w:val="20"/>
          <w:szCs w:val="20"/>
        </w:rPr>
        <w:t xml:space="preserve"> EUR, </w:t>
      </w:r>
      <w:r>
        <w:rPr>
          <w:rFonts w:ascii="Titillium" w:hAnsi="Titillium" w:cs="Arial"/>
          <w:sz w:val="20"/>
          <w:szCs w:val="20"/>
        </w:rPr>
        <w:t xml:space="preserve">ostali </w:t>
      </w:r>
      <w:r w:rsidRPr="00D16990">
        <w:rPr>
          <w:rFonts w:ascii="Titillium" w:hAnsi="Titillium" w:cs="Arial"/>
          <w:sz w:val="20"/>
          <w:szCs w:val="20"/>
        </w:rPr>
        <w:t xml:space="preserve">prihodi u iznosu od </w:t>
      </w:r>
      <w:r>
        <w:rPr>
          <w:rFonts w:ascii="Titillium" w:hAnsi="Titillium" w:cs="Arial"/>
          <w:sz w:val="20"/>
          <w:szCs w:val="20"/>
        </w:rPr>
        <w:t>2,08</w:t>
      </w:r>
      <w:r w:rsidRPr="00D16990">
        <w:rPr>
          <w:rFonts w:ascii="Titillium" w:hAnsi="Titillium" w:cs="Arial"/>
          <w:sz w:val="20"/>
          <w:szCs w:val="20"/>
        </w:rPr>
        <w:t xml:space="preserve"> EUR i sufinanciranje čajne kuhinje u iznosu od </w:t>
      </w:r>
      <w:r>
        <w:rPr>
          <w:rFonts w:ascii="Titillium" w:hAnsi="Titillium" w:cs="Arial"/>
          <w:sz w:val="20"/>
          <w:szCs w:val="20"/>
        </w:rPr>
        <w:t>1.692,50</w:t>
      </w:r>
      <w:r w:rsidRPr="00D16990">
        <w:rPr>
          <w:rFonts w:ascii="Titillium" w:hAnsi="Titillium" w:cs="Arial"/>
          <w:sz w:val="20"/>
          <w:szCs w:val="20"/>
        </w:rPr>
        <w:t xml:space="preserve"> EUR</w:t>
      </w:r>
      <w:r>
        <w:rPr>
          <w:rFonts w:ascii="Titillium" w:hAnsi="Titillium" w:cs="Arial"/>
          <w:sz w:val="20"/>
          <w:szCs w:val="20"/>
        </w:rPr>
        <w:t>.</w:t>
      </w:r>
    </w:p>
    <w:p w:rsidR="006869E6" w:rsidRPr="00A16AAB" w:rsidRDefault="006869E6" w:rsidP="004B6A08">
      <w:pPr>
        <w:spacing w:after="0"/>
        <w:jc w:val="both"/>
        <w:rPr>
          <w:rFonts w:ascii="Titillium" w:hAnsi="Titillium" w:cs="Arial"/>
          <w:sz w:val="20"/>
          <w:szCs w:val="20"/>
        </w:rPr>
      </w:pPr>
    </w:p>
    <w:p w:rsidR="00DE71E2" w:rsidRDefault="00DE71E2" w:rsidP="0023685F">
      <w:pPr>
        <w:spacing w:after="0"/>
        <w:jc w:val="both"/>
        <w:rPr>
          <w:rFonts w:ascii="Titillium" w:hAnsi="Titillium" w:cs="Arial"/>
          <w:b/>
          <w:sz w:val="20"/>
          <w:szCs w:val="20"/>
        </w:rPr>
      </w:pPr>
    </w:p>
    <w:p w:rsidR="0023685F" w:rsidRPr="00A16AAB" w:rsidRDefault="0023685F" w:rsidP="0023685F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C1573C">
        <w:rPr>
          <w:rFonts w:ascii="Titillium" w:hAnsi="Titillium" w:cs="Arial"/>
          <w:b/>
          <w:sz w:val="20"/>
          <w:szCs w:val="20"/>
        </w:rPr>
        <w:t>Rashodi poslovanja</w:t>
      </w:r>
      <w:r w:rsidRPr="00C1573C">
        <w:rPr>
          <w:rFonts w:ascii="Titillium" w:hAnsi="Titillium" w:cs="Arial"/>
          <w:sz w:val="20"/>
          <w:szCs w:val="20"/>
        </w:rPr>
        <w:t xml:space="preserve"> </w:t>
      </w:r>
      <w:r w:rsidRPr="00A16AAB">
        <w:rPr>
          <w:rFonts w:ascii="Titillium" w:hAnsi="Titillium" w:cs="Arial"/>
          <w:sz w:val="20"/>
          <w:szCs w:val="20"/>
        </w:rPr>
        <w:t xml:space="preserve">(3) u obračunskom razdoblju iznose </w:t>
      </w:r>
      <w:r w:rsidR="00DD1862">
        <w:rPr>
          <w:rFonts w:ascii="Titillium" w:hAnsi="Titillium" w:cs="Arial"/>
          <w:sz w:val="20"/>
          <w:szCs w:val="20"/>
        </w:rPr>
        <w:t>8</w:t>
      </w:r>
      <w:r w:rsidR="00721751">
        <w:rPr>
          <w:rFonts w:ascii="Titillium" w:hAnsi="Titillium" w:cs="Arial"/>
          <w:sz w:val="20"/>
          <w:szCs w:val="20"/>
        </w:rPr>
        <w:t>.</w:t>
      </w:r>
      <w:r w:rsidR="00DD1862">
        <w:rPr>
          <w:rFonts w:ascii="Titillium" w:hAnsi="Titillium" w:cs="Arial"/>
          <w:sz w:val="20"/>
          <w:szCs w:val="20"/>
        </w:rPr>
        <w:t>674</w:t>
      </w:r>
      <w:r w:rsidR="00721751">
        <w:rPr>
          <w:rFonts w:ascii="Titillium" w:hAnsi="Titillium" w:cs="Arial"/>
          <w:sz w:val="20"/>
          <w:szCs w:val="20"/>
        </w:rPr>
        <w:t>.</w:t>
      </w:r>
      <w:r w:rsidR="00DD1862">
        <w:rPr>
          <w:rFonts w:ascii="Titillium" w:hAnsi="Titillium" w:cs="Arial"/>
          <w:sz w:val="20"/>
          <w:szCs w:val="20"/>
        </w:rPr>
        <w:t>783,91</w:t>
      </w:r>
      <w:r w:rsidR="00DA00F0">
        <w:rPr>
          <w:rFonts w:ascii="Titillium" w:hAnsi="Titillium" w:cs="Arial"/>
          <w:sz w:val="20"/>
          <w:szCs w:val="20"/>
        </w:rPr>
        <w:t xml:space="preserve"> EUR</w:t>
      </w:r>
      <w:r w:rsidRPr="00A16AAB">
        <w:rPr>
          <w:rFonts w:ascii="Titillium" w:hAnsi="Titillium" w:cs="Arial"/>
          <w:sz w:val="20"/>
          <w:szCs w:val="20"/>
        </w:rPr>
        <w:t>, a čine ih:</w:t>
      </w:r>
    </w:p>
    <w:p w:rsidR="0023685F" w:rsidRPr="00A16AAB" w:rsidRDefault="0023685F" w:rsidP="0023685F">
      <w:pPr>
        <w:pStyle w:val="ListParagraph"/>
        <w:numPr>
          <w:ilvl w:val="0"/>
          <w:numId w:val="11"/>
        </w:numPr>
        <w:spacing w:after="0"/>
        <w:jc w:val="both"/>
        <w:rPr>
          <w:rFonts w:ascii="Titillium" w:hAnsi="Titillium" w:cs="Arial"/>
          <w:sz w:val="20"/>
          <w:szCs w:val="20"/>
        </w:rPr>
      </w:pPr>
      <w:r w:rsidRPr="00A16AAB">
        <w:rPr>
          <w:rFonts w:ascii="Titillium" w:hAnsi="Titillium" w:cs="Arial"/>
          <w:sz w:val="20"/>
          <w:szCs w:val="20"/>
        </w:rPr>
        <w:t xml:space="preserve">Rashodi za zaposlene (31) </w:t>
      </w:r>
      <w:r w:rsidR="00DD1862">
        <w:rPr>
          <w:rFonts w:ascii="Titillium" w:hAnsi="Titillium" w:cs="Arial"/>
          <w:sz w:val="20"/>
          <w:szCs w:val="20"/>
        </w:rPr>
        <w:t>6</w:t>
      </w:r>
      <w:r w:rsidR="00721751">
        <w:rPr>
          <w:rFonts w:ascii="Titillium" w:hAnsi="Titillium" w:cs="Arial"/>
          <w:sz w:val="20"/>
          <w:szCs w:val="20"/>
        </w:rPr>
        <w:t>.</w:t>
      </w:r>
      <w:r w:rsidR="00DD1862">
        <w:rPr>
          <w:rFonts w:ascii="Titillium" w:hAnsi="Titillium" w:cs="Arial"/>
          <w:sz w:val="20"/>
          <w:szCs w:val="20"/>
        </w:rPr>
        <w:t>548</w:t>
      </w:r>
      <w:r w:rsidR="00721751">
        <w:rPr>
          <w:rFonts w:ascii="Titillium" w:hAnsi="Titillium" w:cs="Arial"/>
          <w:sz w:val="20"/>
          <w:szCs w:val="20"/>
        </w:rPr>
        <w:t>.</w:t>
      </w:r>
      <w:r w:rsidR="00DD1862">
        <w:rPr>
          <w:rFonts w:ascii="Titillium" w:hAnsi="Titillium" w:cs="Arial"/>
          <w:sz w:val="20"/>
          <w:szCs w:val="20"/>
        </w:rPr>
        <w:t>794,12</w:t>
      </w:r>
      <w:r w:rsidR="00735211">
        <w:rPr>
          <w:rFonts w:ascii="Titillium" w:hAnsi="Titillium" w:cs="Arial"/>
          <w:sz w:val="20"/>
          <w:szCs w:val="20"/>
        </w:rPr>
        <w:t xml:space="preserve"> </w:t>
      </w:r>
      <w:r w:rsidR="00E936C0">
        <w:rPr>
          <w:rFonts w:ascii="Titillium" w:hAnsi="Titillium" w:cs="Arial"/>
          <w:sz w:val="20"/>
          <w:szCs w:val="20"/>
        </w:rPr>
        <w:t>EUR</w:t>
      </w:r>
    </w:p>
    <w:p w:rsidR="0023685F" w:rsidRPr="00A16AAB" w:rsidRDefault="0023685F" w:rsidP="0023685F">
      <w:pPr>
        <w:pStyle w:val="ListParagraph"/>
        <w:numPr>
          <w:ilvl w:val="0"/>
          <w:numId w:val="11"/>
        </w:numPr>
        <w:spacing w:after="0"/>
        <w:jc w:val="both"/>
        <w:rPr>
          <w:rFonts w:ascii="Titillium" w:hAnsi="Titillium" w:cs="Arial"/>
          <w:sz w:val="20"/>
          <w:szCs w:val="20"/>
        </w:rPr>
      </w:pPr>
      <w:r w:rsidRPr="00A16AAB">
        <w:rPr>
          <w:rFonts w:ascii="Titillium" w:hAnsi="Titillium" w:cs="Arial"/>
          <w:sz w:val="20"/>
          <w:szCs w:val="20"/>
        </w:rPr>
        <w:t xml:space="preserve">Materijalni rashodi (32) </w:t>
      </w:r>
      <w:r w:rsidR="00DD1862">
        <w:rPr>
          <w:rFonts w:ascii="Titillium" w:hAnsi="Titillium" w:cs="Arial"/>
          <w:sz w:val="20"/>
          <w:szCs w:val="20"/>
        </w:rPr>
        <w:t>2</w:t>
      </w:r>
      <w:r w:rsidR="00721751">
        <w:rPr>
          <w:rFonts w:ascii="Titillium" w:hAnsi="Titillium" w:cs="Arial"/>
          <w:sz w:val="20"/>
          <w:szCs w:val="20"/>
        </w:rPr>
        <w:t>.</w:t>
      </w:r>
      <w:r w:rsidR="00DD1862">
        <w:rPr>
          <w:rFonts w:ascii="Titillium" w:hAnsi="Titillium" w:cs="Arial"/>
          <w:sz w:val="20"/>
          <w:szCs w:val="20"/>
        </w:rPr>
        <w:t>040</w:t>
      </w:r>
      <w:r w:rsidR="00721751">
        <w:rPr>
          <w:rFonts w:ascii="Titillium" w:hAnsi="Titillium" w:cs="Arial"/>
          <w:sz w:val="20"/>
          <w:szCs w:val="20"/>
        </w:rPr>
        <w:t>.</w:t>
      </w:r>
      <w:r w:rsidR="00DD1862">
        <w:rPr>
          <w:rFonts w:ascii="Titillium" w:hAnsi="Titillium" w:cs="Arial"/>
          <w:sz w:val="20"/>
          <w:szCs w:val="20"/>
        </w:rPr>
        <w:t>591,4</w:t>
      </w:r>
      <w:r w:rsidR="00F3417D">
        <w:rPr>
          <w:rFonts w:ascii="Titillium" w:hAnsi="Titillium" w:cs="Arial"/>
          <w:sz w:val="20"/>
          <w:szCs w:val="20"/>
        </w:rPr>
        <w:t>0</w:t>
      </w:r>
      <w:r w:rsidR="00E936C0">
        <w:rPr>
          <w:rFonts w:ascii="Titillium" w:hAnsi="Titillium" w:cs="Arial"/>
          <w:sz w:val="20"/>
          <w:szCs w:val="20"/>
        </w:rPr>
        <w:t xml:space="preserve"> EUR</w:t>
      </w:r>
    </w:p>
    <w:p w:rsidR="0023685F" w:rsidRDefault="0023685F" w:rsidP="0023685F">
      <w:pPr>
        <w:pStyle w:val="ListParagraph"/>
        <w:numPr>
          <w:ilvl w:val="0"/>
          <w:numId w:val="11"/>
        </w:numPr>
        <w:spacing w:after="0"/>
        <w:jc w:val="both"/>
        <w:rPr>
          <w:rFonts w:ascii="Titillium" w:hAnsi="Titillium" w:cs="Arial"/>
          <w:sz w:val="20"/>
          <w:szCs w:val="20"/>
        </w:rPr>
      </w:pPr>
      <w:r w:rsidRPr="00A16AAB">
        <w:rPr>
          <w:rFonts w:ascii="Titillium" w:hAnsi="Titillium" w:cs="Arial"/>
          <w:sz w:val="20"/>
          <w:szCs w:val="20"/>
        </w:rPr>
        <w:t xml:space="preserve">Financijski rashodi (34) </w:t>
      </w:r>
      <w:r w:rsidR="00721751">
        <w:rPr>
          <w:rFonts w:ascii="Titillium" w:hAnsi="Titillium" w:cs="Arial"/>
          <w:sz w:val="20"/>
          <w:szCs w:val="20"/>
        </w:rPr>
        <w:t>1</w:t>
      </w:r>
      <w:r w:rsidR="00DD1862">
        <w:rPr>
          <w:rFonts w:ascii="Titillium" w:hAnsi="Titillium" w:cs="Arial"/>
          <w:sz w:val="20"/>
          <w:szCs w:val="20"/>
        </w:rPr>
        <w:t>7</w:t>
      </w:r>
      <w:r w:rsidR="00721751">
        <w:rPr>
          <w:rFonts w:ascii="Titillium" w:hAnsi="Titillium" w:cs="Arial"/>
          <w:sz w:val="20"/>
          <w:szCs w:val="20"/>
        </w:rPr>
        <w:t>.</w:t>
      </w:r>
      <w:r w:rsidR="00DD1862">
        <w:rPr>
          <w:rFonts w:ascii="Titillium" w:hAnsi="Titillium" w:cs="Arial"/>
          <w:sz w:val="20"/>
          <w:szCs w:val="20"/>
        </w:rPr>
        <w:t>088,96</w:t>
      </w:r>
      <w:r w:rsidR="00E936C0">
        <w:rPr>
          <w:rFonts w:ascii="Titillium" w:hAnsi="Titillium" w:cs="Arial"/>
          <w:sz w:val="20"/>
          <w:szCs w:val="20"/>
        </w:rPr>
        <w:t xml:space="preserve"> EUR</w:t>
      </w:r>
    </w:p>
    <w:p w:rsidR="003A73EC" w:rsidRDefault="003A73EC" w:rsidP="0023685F">
      <w:pPr>
        <w:pStyle w:val="ListParagraph"/>
        <w:numPr>
          <w:ilvl w:val="0"/>
          <w:numId w:val="11"/>
        </w:num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 xml:space="preserve">Pomoći dane unutar općeg proračuna (36) </w:t>
      </w:r>
      <w:r w:rsidR="00DD1862">
        <w:rPr>
          <w:rFonts w:ascii="Titillium" w:hAnsi="Titillium" w:cs="Arial"/>
          <w:sz w:val="20"/>
          <w:szCs w:val="20"/>
        </w:rPr>
        <w:t>46</w:t>
      </w:r>
      <w:r>
        <w:rPr>
          <w:rFonts w:ascii="Titillium" w:hAnsi="Titillium" w:cs="Arial"/>
          <w:sz w:val="20"/>
          <w:szCs w:val="20"/>
        </w:rPr>
        <w:t>.</w:t>
      </w:r>
      <w:r w:rsidR="00DD1862">
        <w:rPr>
          <w:rFonts w:ascii="Titillium" w:hAnsi="Titillium" w:cs="Arial"/>
          <w:sz w:val="20"/>
          <w:szCs w:val="20"/>
        </w:rPr>
        <w:t>052,13</w:t>
      </w:r>
      <w:r>
        <w:rPr>
          <w:rFonts w:ascii="Titillium" w:hAnsi="Titillium" w:cs="Arial"/>
          <w:sz w:val="20"/>
          <w:szCs w:val="20"/>
        </w:rPr>
        <w:t xml:space="preserve"> EUR</w:t>
      </w:r>
    </w:p>
    <w:p w:rsidR="0023685F" w:rsidRDefault="0023685F" w:rsidP="0023685F">
      <w:pPr>
        <w:pStyle w:val="ListParagraph"/>
        <w:numPr>
          <w:ilvl w:val="0"/>
          <w:numId w:val="11"/>
        </w:numPr>
        <w:spacing w:after="0"/>
        <w:jc w:val="both"/>
        <w:rPr>
          <w:rFonts w:ascii="Titillium" w:hAnsi="Titillium" w:cs="Arial"/>
          <w:sz w:val="20"/>
          <w:szCs w:val="20"/>
        </w:rPr>
      </w:pPr>
      <w:r w:rsidRPr="00A16AAB">
        <w:rPr>
          <w:rFonts w:ascii="Titillium" w:hAnsi="Titillium" w:cs="Arial"/>
          <w:sz w:val="20"/>
          <w:szCs w:val="20"/>
        </w:rPr>
        <w:t xml:space="preserve">Naknade građanima i kućanstvima (37) </w:t>
      </w:r>
      <w:r w:rsidR="00DD1862">
        <w:rPr>
          <w:rFonts w:ascii="Titillium" w:hAnsi="Titillium" w:cs="Arial"/>
          <w:sz w:val="20"/>
          <w:szCs w:val="20"/>
        </w:rPr>
        <w:t>21.573,77 EUR</w:t>
      </w:r>
    </w:p>
    <w:p w:rsidR="003A73EC" w:rsidRDefault="003A73EC" w:rsidP="0023685F">
      <w:pPr>
        <w:pStyle w:val="ListParagraph"/>
        <w:numPr>
          <w:ilvl w:val="0"/>
          <w:numId w:val="11"/>
        </w:num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 xml:space="preserve">Ostali rashodi (38) </w:t>
      </w:r>
      <w:r w:rsidR="00721751">
        <w:rPr>
          <w:rFonts w:ascii="Titillium" w:hAnsi="Titillium" w:cs="Arial"/>
          <w:sz w:val="20"/>
          <w:szCs w:val="20"/>
        </w:rPr>
        <w:t>6</w:t>
      </w:r>
      <w:r w:rsidR="00DD1862">
        <w:rPr>
          <w:rFonts w:ascii="Titillium" w:hAnsi="Titillium" w:cs="Arial"/>
          <w:sz w:val="20"/>
          <w:szCs w:val="20"/>
        </w:rPr>
        <w:t>83</w:t>
      </w:r>
      <w:r w:rsidR="00721751">
        <w:rPr>
          <w:rFonts w:ascii="Titillium" w:hAnsi="Titillium" w:cs="Arial"/>
          <w:sz w:val="20"/>
          <w:szCs w:val="20"/>
        </w:rPr>
        <w:t>,53</w:t>
      </w:r>
      <w:r>
        <w:rPr>
          <w:rFonts w:ascii="Titillium" w:hAnsi="Titillium" w:cs="Arial"/>
          <w:sz w:val="20"/>
          <w:szCs w:val="20"/>
        </w:rPr>
        <w:t xml:space="preserve"> EUR</w:t>
      </w:r>
    </w:p>
    <w:p w:rsidR="00044310" w:rsidRDefault="00044310" w:rsidP="0023685F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>Rashodi za zaposlene na računu 31 već</w:t>
      </w:r>
      <w:r w:rsidR="00F3417D">
        <w:rPr>
          <w:rFonts w:ascii="Titillium" w:hAnsi="Titillium" w:cs="Arial"/>
          <w:sz w:val="20"/>
          <w:szCs w:val="20"/>
        </w:rPr>
        <w:t>i</w:t>
      </w:r>
      <w:r>
        <w:rPr>
          <w:rFonts w:ascii="Titillium" w:hAnsi="Titillium" w:cs="Arial"/>
          <w:sz w:val="20"/>
          <w:szCs w:val="20"/>
        </w:rPr>
        <w:t xml:space="preserve"> su od prošlogodišnjih (indeks 121,6) zbog povećanja mase plaća temeljem Uredbe o nazivima radnih mjesta, uvjetima za raspored i koeficijentima za obračun plaće u javnim službama.</w:t>
      </w:r>
    </w:p>
    <w:p w:rsidR="00C3372C" w:rsidRDefault="0023685F" w:rsidP="0023685F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A16AAB">
        <w:rPr>
          <w:rFonts w:ascii="Titillium" w:hAnsi="Titillium" w:cs="Arial"/>
          <w:sz w:val="20"/>
          <w:szCs w:val="20"/>
        </w:rPr>
        <w:t xml:space="preserve">Na računu 3211 rashodi za službena putovanja evidentirano je u obračunskom razdoblju </w:t>
      </w:r>
      <w:r w:rsidR="00044310">
        <w:rPr>
          <w:rFonts w:ascii="Titillium" w:hAnsi="Titillium" w:cs="Arial"/>
          <w:sz w:val="20"/>
          <w:szCs w:val="20"/>
        </w:rPr>
        <w:t>293.407,18</w:t>
      </w:r>
      <w:r w:rsidR="00E936C0">
        <w:rPr>
          <w:rFonts w:ascii="Titillium" w:hAnsi="Titillium" w:cs="Arial"/>
          <w:sz w:val="20"/>
          <w:szCs w:val="20"/>
        </w:rPr>
        <w:t xml:space="preserve"> EUR</w:t>
      </w:r>
      <w:r w:rsidRPr="00A16AAB">
        <w:rPr>
          <w:rFonts w:ascii="Titillium" w:hAnsi="Titillium" w:cs="Arial"/>
          <w:sz w:val="20"/>
          <w:szCs w:val="20"/>
        </w:rPr>
        <w:t xml:space="preserve"> (indeks </w:t>
      </w:r>
      <w:r w:rsidR="00E936C0">
        <w:rPr>
          <w:rFonts w:ascii="Titillium" w:hAnsi="Titillium" w:cs="Arial"/>
          <w:sz w:val="20"/>
          <w:szCs w:val="20"/>
        </w:rPr>
        <w:t>1</w:t>
      </w:r>
      <w:r w:rsidR="00044310">
        <w:rPr>
          <w:rFonts w:ascii="Titillium" w:hAnsi="Titillium" w:cs="Arial"/>
          <w:sz w:val="20"/>
          <w:szCs w:val="20"/>
        </w:rPr>
        <w:t>43,4</w:t>
      </w:r>
      <w:r w:rsidRPr="00A16AAB">
        <w:rPr>
          <w:rFonts w:ascii="Titillium" w:hAnsi="Titillium" w:cs="Arial"/>
          <w:sz w:val="20"/>
          <w:szCs w:val="20"/>
        </w:rPr>
        <w:t xml:space="preserve">), što je rezultat </w:t>
      </w:r>
      <w:r w:rsidR="00E60076" w:rsidRPr="00A16AAB">
        <w:rPr>
          <w:rFonts w:ascii="Titillium" w:hAnsi="Titillium" w:cs="Arial"/>
          <w:sz w:val="20"/>
          <w:szCs w:val="20"/>
        </w:rPr>
        <w:t xml:space="preserve">povećanog broja službenih putovanja </w:t>
      </w:r>
      <w:r w:rsidR="00765658">
        <w:rPr>
          <w:rFonts w:ascii="Titillium" w:hAnsi="Titillium" w:cs="Arial"/>
          <w:sz w:val="20"/>
          <w:szCs w:val="20"/>
        </w:rPr>
        <w:t>nakon normaliziranja epide</w:t>
      </w:r>
      <w:r w:rsidRPr="00A16AAB">
        <w:rPr>
          <w:rFonts w:ascii="Titillium" w:hAnsi="Titillium" w:cs="Arial"/>
          <w:sz w:val="20"/>
          <w:szCs w:val="20"/>
        </w:rPr>
        <w:t>miološke situacije u odnosu na prethodn</w:t>
      </w:r>
      <w:r w:rsidR="00765658">
        <w:rPr>
          <w:rFonts w:ascii="Titillium" w:hAnsi="Titillium" w:cs="Arial"/>
          <w:sz w:val="20"/>
          <w:szCs w:val="20"/>
        </w:rPr>
        <w:t>e</w:t>
      </w:r>
      <w:r w:rsidRPr="00A16AAB">
        <w:rPr>
          <w:rFonts w:ascii="Titillium" w:hAnsi="Titillium" w:cs="Arial"/>
          <w:sz w:val="20"/>
          <w:szCs w:val="20"/>
        </w:rPr>
        <w:t xml:space="preserve"> godin</w:t>
      </w:r>
      <w:r w:rsidR="00765658">
        <w:rPr>
          <w:rFonts w:ascii="Titillium" w:hAnsi="Titillium" w:cs="Arial"/>
          <w:sz w:val="20"/>
          <w:szCs w:val="20"/>
        </w:rPr>
        <w:t>e</w:t>
      </w:r>
      <w:r w:rsidR="00BC46A3">
        <w:rPr>
          <w:rFonts w:ascii="Titillium" w:hAnsi="Titillium" w:cs="Arial"/>
          <w:sz w:val="20"/>
          <w:szCs w:val="20"/>
        </w:rPr>
        <w:t xml:space="preserve"> te planiranih službenih putovanja u sklopu ugovorenih projekata</w:t>
      </w:r>
      <w:r w:rsidRPr="00A16AAB">
        <w:rPr>
          <w:rFonts w:ascii="Titillium" w:hAnsi="Titillium" w:cs="Arial"/>
          <w:sz w:val="20"/>
          <w:szCs w:val="20"/>
        </w:rPr>
        <w:t>.</w:t>
      </w:r>
      <w:r w:rsidR="003A73EC">
        <w:rPr>
          <w:rFonts w:ascii="Titillium" w:hAnsi="Titillium" w:cs="Arial"/>
          <w:sz w:val="20"/>
          <w:szCs w:val="20"/>
        </w:rPr>
        <w:t xml:space="preserve"> Iz istog razloga povećani su i rashodi za stručno usavršavanje zaposlenika na račun</w:t>
      </w:r>
      <w:r w:rsidR="00D668C6">
        <w:rPr>
          <w:rFonts w:ascii="Titillium" w:hAnsi="Titillium" w:cs="Arial"/>
          <w:sz w:val="20"/>
          <w:szCs w:val="20"/>
        </w:rPr>
        <w:t>ima 3</w:t>
      </w:r>
      <w:r w:rsidR="003A73EC">
        <w:rPr>
          <w:rFonts w:ascii="Titillium" w:hAnsi="Titillium" w:cs="Arial"/>
          <w:sz w:val="20"/>
          <w:szCs w:val="20"/>
        </w:rPr>
        <w:t>213 (indeks 1</w:t>
      </w:r>
      <w:r w:rsidR="005C03D2">
        <w:rPr>
          <w:rFonts w:ascii="Titillium" w:hAnsi="Titillium" w:cs="Arial"/>
          <w:sz w:val="20"/>
          <w:szCs w:val="20"/>
        </w:rPr>
        <w:t>15,9</w:t>
      </w:r>
      <w:r w:rsidR="003A73EC">
        <w:rPr>
          <w:rFonts w:ascii="Titillium" w:hAnsi="Titillium" w:cs="Arial"/>
          <w:sz w:val="20"/>
          <w:szCs w:val="20"/>
        </w:rPr>
        <w:t>)</w:t>
      </w:r>
      <w:r w:rsidR="00D668C6">
        <w:rPr>
          <w:rFonts w:ascii="Titillium" w:hAnsi="Titillium" w:cs="Arial"/>
          <w:sz w:val="20"/>
          <w:szCs w:val="20"/>
        </w:rPr>
        <w:t xml:space="preserve"> i 3214 (indeks 124,8)</w:t>
      </w:r>
      <w:r w:rsidR="003A73EC">
        <w:rPr>
          <w:rFonts w:ascii="Titillium" w:hAnsi="Titillium" w:cs="Arial"/>
          <w:sz w:val="20"/>
          <w:szCs w:val="20"/>
        </w:rPr>
        <w:t>.</w:t>
      </w:r>
    </w:p>
    <w:p w:rsidR="00D668C6" w:rsidRDefault="00D668C6" w:rsidP="00D668C6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lastRenderedPageBreak/>
        <w:t>Materijal i dijelovi za tekuće i investicijsko održavanje na računu 3224 (indeks 64,8) i sitni inventar i auto gume (indeks 83,2) na računu 3225 manji su od prošlogodišnjih jer je tijekom 2023 radi preseljenja u novu zgradu</w:t>
      </w:r>
      <w:r w:rsidR="00625B1A">
        <w:rPr>
          <w:rFonts w:ascii="Titillium" w:hAnsi="Titillium" w:cs="Arial"/>
          <w:sz w:val="20"/>
          <w:szCs w:val="20"/>
        </w:rPr>
        <w:t xml:space="preserve"> nabavljan dodatni potrošni materijal, alat i pribor</w:t>
      </w:r>
      <w:r>
        <w:rPr>
          <w:rFonts w:ascii="Titillium" w:hAnsi="Titillium" w:cs="Arial"/>
          <w:sz w:val="20"/>
          <w:szCs w:val="20"/>
        </w:rPr>
        <w:t>.</w:t>
      </w:r>
    </w:p>
    <w:p w:rsidR="00BC3FCD" w:rsidRDefault="00BC3FCD" w:rsidP="0023685F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 xml:space="preserve">Rashodi za službenu, radnu i zaštitnu odjeća i obuća na računu 3227 </w:t>
      </w:r>
      <w:r w:rsidR="00625B1A">
        <w:rPr>
          <w:rFonts w:ascii="Titillium" w:hAnsi="Titillium" w:cs="Arial"/>
          <w:sz w:val="20"/>
          <w:szCs w:val="20"/>
        </w:rPr>
        <w:t xml:space="preserve">manji </w:t>
      </w:r>
      <w:r>
        <w:rPr>
          <w:rFonts w:ascii="Titillium" w:hAnsi="Titillium" w:cs="Arial"/>
          <w:sz w:val="20"/>
          <w:szCs w:val="20"/>
        </w:rPr>
        <w:t xml:space="preserve">su od prošlogodišnjih (indeks </w:t>
      </w:r>
      <w:r w:rsidR="00625B1A">
        <w:rPr>
          <w:rFonts w:ascii="Titillium" w:hAnsi="Titillium" w:cs="Arial"/>
          <w:sz w:val="20"/>
          <w:szCs w:val="20"/>
        </w:rPr>
        <w:t>68,5</w:t>
      </w:r>
      <w:r>
        <w:rPr>
          <w:rFonts w:ascii="Titillium" w:hAnsi="Titillium" w:cs="Arial"/>
          <w:sz w:val="20"/>
          <w:szCs w:val="20"/>
        </w:rPr>
        <w:t xml:space="preserve">) </w:t>
      </w:r>
      <w:r w:rsidR="00625B1A">
        <w:rPr>
          <w:rFonts w:ascii="Titillium" w:hAnsi="Titillium" w:cs="Arial"/>
          <w:sz w:val="20"/>
          <w:szCs w:val="20"/>
        </w:rPr>
        <w:t xml:space="preserve">jer je prethodne godine </w:t>
      </w:r>
      <w:r>
        <w:rPr>
          <w:rFonts w:ascii="Titillium" w:hAnsi="Titillium" w:cs="Arial"/>
          <w:sz w:val="20"/>
          <w:szCs w:val="20"/>
        </w:rPr>
        <w:t>nabav</w:t>
      </w:r>
      <w:r w:rsidR="00625B1A">
        <w:rPr>
          <w:rFonts w:ascii="Titillium" w:hAnsi="Titillium" w:cs="Arial"/>
          <w:sz w:val="20"/>
          <w:szCs w:val="20"/>
        </w:rPr>
        <w:t>ljena</w:t>
      </w:r>
      <w:r>
        <w:rPr>
          <w:rFonts w:ascii="Titillium" w:hAnsi="Titillium" w:cs="Arial"/>
          <w:sz w:val="20"/>
          <w:szCs w:val="20"/>
        </w:rPr>
        <w:t xml:space="preserve"> </w:t>
      </w:r>
      <w:r w:rsidR="00257400">
        <w:rPr>
          <w:rFonts w:ascii="Titillium" w:hAnsi="Titillium" w:cs="Arial"/>
          <w:sz w:val="20"/>
          <w:szCs w:val="20"/>
        </w:rPr>
        <w:t xml:space="preserve">veća količina </w:t>
      </w:r>
      <w:r>
        <w:rPr>
          <w:rFonts w:ascii="Titillium" w:hAnsi="Titillium" w:cs="Arial"/>
          <w:sz w:val="20"/>
          <w:szCs w:val="20"/>
        </w:rPr>
        <w:t>zaštitn</w:t>
      </w:r>
      <w:r w:rsidR="00257400">
        <w:rPr>
          <w:rFonts w:ascii="Titillium" w:hAnsi="Titillium" w:cs="Arial"/>
          <w:sz w:val="20"/>
          <w:szCs w:val="20"/>
        </w:rPr>
        <w:t>e</w:t>
      </w:r>
      <w:r>
        <w:rPr>
          <w:rFonts w:ascii="Titillium" w:hAnsi="Titillium" w:cs="Arial"/>
          <w:sz w:val="20"/>
          <w:szCs w:val="20"/>
        </w:rPr>
        <w:t xml:space="preserve"> oprem</w:t>
      </w:r>
      <w:r w:rsidR="00257400">
        <w:rPr>
          <w:rFonts w:ascii="Titillium" w:hAnsi="Titillium" w:cs="Arial"/>
          <w:sz w:val="20"/>
          <w:szCs w:val="20"/>
        </w:rPr>
        <w:t>e</w:t>
      </w:r>
      <w:r>
        <w:rPr>
          <w:rFonts w:ascii="Titillium" w:hAnsi="Titillium" w:cs="Arial"/>
          <w:sz w:val="20"/>
          <w:szCs w:val="20"/>
        </w:rPr>
        <w:t xml:space="preserve"> za potrebe terenskog rada.</w:t>
      </w:r>
    </w:p>
    <w:p w:rsidR="00257400" w:rsidRDefault="00257400" w:rsidP="0023685F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>Usluge promidžbe i informiranja na računu</w:t>
      </w:r>
      <w:r w:rsidR="002E766C">
        <w:rPr>
          <w:rFonts w:ascii="Titillium" w:hAnsi="Titillium" w:cs="Arial"/>
          <w:sz w:val="20"/>
          <w:szCs w:val="20"/>
        </w:rPr>
        <w:t xml:space="preserve"> 3233</w:t>
      </w:r>
      <w:r>
        <w:rPr>
          <w:rFonts w:ascii="Titillium" w:hAnsi="Titillium" w:cs="Arial"/>
          <w:sz w:val="20"/>
          <w:szCs w:val="20"/>
        </w:rPr>
        <w:t xml:space="preserve"> </w:t>
      </w:r>
      <w:r w:rsidR="002E766C">
        <w:rPr>
          <w:rFonts w:ascii="Titillium" w:hAnsi="Titillium" w:cs="Arial"/>
          <w:sz w:val="20"/>
          <w:szCs w:val="20"/>
        </w:rPr>
        <w:t>u 2024. manje su od prošlogodišnjih (indeks 54,2) jer je tijekom 2023. organizirano nekoliko mini simpozija i nabavljena je veća količina promidžbenih materijala.</w:t>
      </w:r>
    </w:p>
    <w:p w:rsidR="00413212" w:rsidRDefault="00413212" w:rsidP="0023685F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 xml:space="preserve">Zakupnine i najamnine na računu 3235 veće su od prošlogodišnjih (indeks 115,4) jer je tijekom 2024. godine </w:t>
      </w:r>
      <w:r w:rsidR="00FB2E52">
        <w:rPr>
          <w:rFonts w:ascii="Titillium" w:hAnsi="Titillium" w:cs="Arial"/>
          <w:sz w:val="20"/>
          <w:szCs w:val="20"/>
        </w:rPr>
        <w:t xml:space="preserve">zbog stupanja na snagu Zakona o </w:t>
      </w:r>
      <w:proofErr w:type="spellStart"/>
      <w:r w:rsidR="00FB2E52">
        <w:rPr>
          <w:rFonts w:ascii="Titillium" w:hAnsi="Titillium" w:cs="Arial"/>
          <w:sz w:val="20"/>
          <w:szCs w:val="20"/>
        </w:rPr>
        <w:t>kibernetičkoj</w:t>
      </w:r>
      <w:proofErr w:type="spellEnd"/>
      <w:r w:rsidR="00FB2E52">
        <w:rPr>
          <w:rFonts w:ascii="Titillium" w:hAnsi="Titillium" w:cs="Arial"/>
          <w:sz w:val="20"/>
          <w:szCs w:val="20"/>
        </w:rPr>
        <w:t xml:space="preserve"> sigurnosti </w:t>
      </w:r>
      <w:r>
        <w:rPr>
          <w:rFonts w:ascii="Titillium" w:hAnsi="Titillium" w:cs="Arial"/>
          <w:sz w:val="20"/>
          <w:szCs w:val="20"/>
        </w:rPr>
        <w:t xml:space="preserve">sa Sveučilišnim računskim centrom ugovorena usluga udomljavanja opreme </w:t>
      </w:r>
      <w:r w:rsidR="00FB2E52">
        <w:rPr>
          <w:rFonts w:ascii="Titillium" w:hAnsi="Titillium" w:cs="Arial"/>
          <w:sz w:val="20"/>
          <w:szCs w:val="20"/>
        </w:rPr>
        <w:t xml:space="preserve">u podatkovne centre SRCA, </w:t>
      </w:r>
      <w:r w:rsidR="000F46C3">
        <w:rPr>
          <w:rFonts w:ascii="Titillium" w:hAnsi="Titillium" w:cs="Arial"/>
          <w:sz w:val="20"/>
          <w:szCs w:val="20"/>
        </w:rPr>
        <w:t xml:space="preserve">i </w:t>
      </w:r>
      <w:r w:rsidR="00CF6B97">
        <w:rPr>
          <w:rFonts w:ascii="Titillium" w:hAnsi="Titillium" w:cs="Arial"/>
          <w:sz w:val="20"/>
          <w:szCs w:val="20"/>
        </w:rPr>
        <w:t xml:space="preserve">nabavljen je veći broj licenci za </w:t>
      </w:r>
      <w:r w:rsidR="000F46C3">
        <w:rPr>
          <w:rFonts w:ascii="Titillium" w:hAnsi="Titillium" w:cs="Arial"/>
          <w:sz w:val="20"/>
          <w:szCs w:val="20"/>
        </w:rPr>
        <w:t>daljinski pristup.</w:t>
      </w:r>
      <w:r w:rsidR="00FB2E52">
        <w:rPr>
          <w:rFonts w:ascii="Titillium" w:hAnsi="Titillium" w:cs="Arial"/>
          <w:sz w:val="20"/>
          <w:szCs w:val="20"/>
        </w:rPr>
        <w:t xml:space="preserve"> </w:t>
      </w:r>
    </w:p>
    <w:p w:rsidR="00CF6B97" w:rsidRDefault="00CF6B97" w:rsidP="0023685F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 xml:space="preserve">Zdravstvene i veterinarske usluge evidentirane na </w:t>
      </w:r>
      <w:r w:rsidR="00A647E1">
        <w:rPr>
          <w:rFonts w:ascii="Titillium" w:hAnsi="Titillium" w:cs="Arial"/>
          <w:sz w:val="20"/>
          <w:szCs w:val="20"/>
        </w:rPr>
        <w:t>računu</w:t>
      </w:r>
      <w:r>
        <w:rPr>
          <w:rFonts w:ascii="Titillium" w:hAnsi="Titillium" w:cs="Arial"/>
          <w:sz w:val="20"/>
          <w:szCs w:val="20"/>
        </w:rPr>
        <w:t xml:space="preserve"> 3636 manje su od iznosa </w:t>
      </w:r>
      <w:r w:rsidR="00071B98">
        <w:rPr>
          <w:rFonts w:ascii="Titillium" w:hAnsi="Titillium" w:cs="Arial"/>
          <w:sz w:val="20"/>
          <w:szCs w:val="20"/>
        </w:rPr>
        <w:t>iz prethodne godine (indeks 56,6)</w:t>
      </w:r>
      <w:r>
        <w:rPr>
          <w:rFonts w:ascii="Titillium" w:hAnsi="Titillium" w:cs="Arial"/>
          <w:sz w:val="20"/>
          <w:szCs w:val="20"/>
        </w:rPr>
        <w:t xml:space="preserve"> jer </w:t>
      </w:r>
      <w:r w:rsidR="00071B98">
        <w:rPr>
          <w:rFonts w:ascii="Titillium" w:hAnsi="Titillium" w:cs="Arial"/>
          <w:sz w:val="20"/>
          <w:szCs w:val="20"/>
        </w:rPr>
        <w:t xml:space="preserve">je tijekom </w:t>
      </w:r>
      <w:r>
        <w:rPr>
          <w:rFonts w:ascii="Titillium" w:hAnsi="Titillium" w:cs="Arial"/>
          <w:sz w:val="20"/>
          <w:szCs w:val="20"/>
        </w:rPr>
        <w:t xml:space="preserve">2023. </w:t>
      </w:r>
      <w:r w:rsidR="00071B98">
        <w:rPr>
          <w:rFonts w:ascii="Titillium" w:hAnsi="Titillium" w:cs="Arial"/>
          <w:sz w:val="20"/>
          <w:szCs w:val="20"/>
        </w:rPr>
        <w:t>plaćen veći broj laboratorijskih analiza koje su bile predviđene ugovorenim istraživačkim projektima.</w:t>
      </w:r>
    </w:p>
    <w:p w:rsidR="00A647E1" w:rsidRDefault="00A647E1" w:rsidP="0023685F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 xml:space="preserve">Iznos rashoda za intelektualne i osobne usluge evidentiran na računu 3237 u iznosu od 101.606,70 EUR veći je od prošlogodišnjih (indeks 137,2) zbog toga jer su u 2024. godini plaćene usluge pripreme projektnog prijedloga </w:t>
      </w:r>
      <w:proofErr w:type="spellStart"/>
      <w:r>
        <w:rPr>
          <w:rFonts w:ascii="Titillium" w:hAnsi="Titillium" w:cs="Arial"/>
          <w:sz w:val="20"/>
          <w:szCs w:val="20"/>
        </w:rPr>
        <w:t>Citizen</w:t>
      </w:r>
      <w:proofErr w:type="spellEnd"/>
      <w:r>
        <w:rPr>
          <w:rFonts w:ascii="Titillium" w:hAnsi="Titillium" w:cs="Arial"/>
          <w:sz w:val="20"/>
          <w:szCs w:val="20"/>
        </w:rPr>
        <w:t xml:space="preserve"> Science</w:t>
      </w:r>
      <w:r w:rsidR="000760E7">
        <w:rPr>
          <w:rFonts w:ascii="Titillium" w:hAnsi="Titillium" w:cs="Arial"/>
          <w:sz w:val="20"/>
          <w:szCs w:val="20"/>
        </w:rPr>
        <w:t xml:space="preserve"> i usluge savjetovanja u gradnji.</w:t>
      </w:r>
      <w:r>
        <w:rPr>
          <w:rFonts w:ascii="Titillium" w:hAnsi="Titillium" w:cs="Arial"/>
          <w:sz w:val="20"/>
          <w:szCs w:val="20"/>
        </w:rPr>
        <w:t xml:space="preserve">  </w:t>
      </w:r>
    </w:p>
    <w:p w:rsidR="00875748" w:rsidRDefault="00875748" w:rsidP="0023685F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 xml:space="preserve">Računalne usluge na računu 3238 veće su od prošlogodišnjih (indeks </w:t>
      </w:r>
      <w:r w:rsidR="00B06CD5">
        <w:rPr>
          <w:rFonts w:ascii="Titillium" w:hAnsi="Titillium" w:cs="Arial"/>
          <w:sz w:val="20"/>
          <w:szCs w:val="20"/>
        </w:rPr>
        <w:t>1</w:t>
      </w:r>
      <w:r w:rsidR="000760E7">
        <w:rPr>
          <w:rFonts w:ascii="Titillium" w:hAnsi="Titillium" w:cs="Arial"/>
          <w:sz w:val="20"/>
          <w:szCs w:val="20"/>
        </w:rPr>
        <w:t>37,1</w:t>
      </w:r>
      <w:r w:rsidR="009D4012">
        <w:rPr>
          <w:rFonts w:ascii="Titillium" w:hAnsi="Titillium" w:cs="Arial"/>
          <w:sz w:val="20"/>
          <w:szCs w:val="20"/>
        </w:rPr>
        <w:t>) zbog plaćanja usluge nadogradnje računovodstvenog programa za potrebe mjesečnog izvještavanja o tr</w:t>
      </w:r>
      <w:r w:rsidR="00756692">
        <w:rPr>
          <w:rFonts w:ascii="Titillium" w:hAnsi="Titillium" w:cs="Arial"/>
          <w:sz w:val="20"/>
          <w:szCs w:val="20"/>
        </w:rPr>
        <w:t>ošenju sredstava.</w:t>
      </w:r>
    </w:p>
    <w:p w:rsidR="00877F30" w:rsidRDefault="00BC3FCD" w:rsidP="0023685F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 xml:space="preserve">Troškovi reprezentacije </w:t>
      </w:r>
      <w:r w:rsidR="00A53D38">
        <w:rPr>
          <w:rFonts w:ascii="Titillium" w:hAnsi="Titillium" w:cs="Arial"/>
          <w:sz w:val="20"/>
          <w:szCs w:val="20"/>
        </w:rPr>
        <w:t xml:space="preserve">na računu 3293 </w:t>
      </w:r>
      <w:r>
        <w:rPr>
          <w:rFonts w:ascii="Titillium" w:hAnsi="Titillium" w:cs="Arial"/>
          <w:sz w:val="20"/>
          <w:szCs w:val="20"/>
        </w:rPr>
        <w:t xml:space="preserve">manji su od prošlogodišnjih </w:t>
      </w:r>
      <w:r w:rsidR="00877F30">
        <w:rPr>
          <w:rFonts w:ascii="Titillium" w:hAnsi="Titillium" w:cs="Arial"/>
          <w:sz w:val="20"/>
          <w:szCs w:val="20"/>
        </w:rPr>
        <w:t xml:space="preserve">(indeks </w:t>
      </w:r>
      <w:r w:rsidR="000760E7">
        <w:rPr>
          <w:rFonts w:ascii="Titillium" w:hAnsi="Titillium" w:cs="Arial"/>
          <w:sz w:val="20"/>
          <w:szCs w:val="20"/>
        </w:rPr>
        <w:t>67,6</w:t>
      </w:r>
      <w:r w:rsidR="00877F30">
        <w:rPr>
          <w:rFonts w:ascii="Titillium" w:hAnsi="Titillium" w:cs="Arial"/>
          <w:sz w:val="20"/>
          <w:szCs w:val="20"/>
        </w:rPr>
        <w:t xml:space="preserve">) </w:t>
      </w:r>
      <w:r>
        <w:rPr>
          <w:rFonts w:ascii="Titillium" w:hAnsi="Titillium" w:cs="Arial"/>
          <w:sz w:val="20"/>
          <w:szCs w:val="20"/>
        </w:rPr>
        <w:t xml:space="preserve">jer je </w:t>
      </w:r>
      <w:r w:rsidR="00877F30">
        <w:rPr>
          <w:rFonts w:ascii="Titillium" w:hAnsi="Titillium" w:cs="Arial"/>
          <w:sz w:val="20"/>
          <w:szCs w:val="20"/>
        </w:rPr>
        <w:t>2</w:t>
      </w:r>
      <w:r>
        <w:rPr>
          <w:rFonts w:ascii="Titillium" w:hAnsi="Titillium" w:cs="Arial"/>
          <w:sz w:val="20"/>
          <w:szCs w:val="20"/>
        </w:rPr>
        <w:t xml:space="preserve">023. </w:t>
      </w:r>
      <w:r w:rsidR="00A53D38">
        <w:rPr>
          <w:rFonts w:ascii="Titillium" w:hAnsi="Titillium" w:cs="Arial"/>
          <w:sz w:val="20"/>
          <w:szCs w:val="20"/>
        </w:rPr>
        <w:t>organiziran</w:t>
      </w:r>
      <w:r>
        <w:rPr>
          <w:rFonts w:ascii="Titillium" w:hAnsi="Titillium" w:cs="Arial"/>
          <w:sz w:val="20"/>
          <w:szCs w:val="20"/>
        </w:rPr>
        <w:t xml:space="preserve"> </w:t>
      </w:r>
      <w:r w:rsidR="00A53D38">
        <w:rPr>
          <w:rFonts w:ascii="Titillium" w:hAnsi="Titillium" w:cs="Arial"/>
          <w:sz w:val="20"/>
          <w:szCs w:val="20"/>
        </w:rPr>
        <w:t xml:space="preserve">veći broj prigodnih skupova i radnih sastanaka, što prethodnih godina nije bilo moguće zbog </w:t>
      </w:r>
      <w:proofErr w:type="spellStart"/>
      <w:r w:rsidR="00A53D38">
        <w:rPr>
          <w:rFonts w:ascii="Titillium" w:hAnsi="Titillium" w:cs="Arial"/>
          <w:sz w:val="20"/>
          <w:szCs w:val="20"/>
        </w:rPr>
        <w:t>pandemije</w:t>
      </w:r>
      <w:proofErr w:type="spellEnd"/>
      <w:r w:rsidR="00A53D38">
        <w:rPr>
          <w:rFonts w:ascii="Titillium" w:hAnsi="Titillium" w:cs="Arial"/>
          <w:sz w:val="20"/>
          <w:szCs w:val="20"/>
        </w:rPr>
        <w:t>. Osim toga početkom 2023. održan</w:t>
      </w:r>
      <w:r w:rsidR="00B83F1D">
        <w:rPr>
          <w:rFonts w:ascii="Titillium" w:hAnsi="Titillium" w:cs="Arial"/>
          <w:sz w:val="20"/>
          <w:szCs w:val="20"/>
        </w:rPr>
        <w:t>a</w:t>
      </w:r>
      <w:r w:rsidR="009740E7">
        <w:rPr>
          <w:rFonts w:ascii="Titillium" w:hAnsi="Titillium" w:cs="Arial"/>
          <w:sz w:val="20"/>
          <w:szCs w:val="20"/>
        </w:rPr>
        <w:t xml:space="preserve"> je </w:t>
      </w:r>
      <w:proofErr w:type="spellStart"/>
      <w:r w:rsidR="00B83F1D">
        <w:rPr>
          <w:rFonts w:ascii="Titillium" w:hAnsi="Titillium" w:cs="Arial"/>
          <w:sz w:val="20"/>
          <w:szCs w:val="20"/>
        </w:rPr>
        <w:t>nanobiotehnološka</w:t>
      </w:r>
      <w:proofErr w:type="spellEnd"/>
      <w:r w:rsidR="00B83F1D">
        <w:rPr>
          <w:rFonts w:ascii="Titillium" w:hAnsi="Titillium" w:cs="Arial"/>
          <w:sz w:val="20"/>
          <w:szCs w:val="20"/>
        </w:rPr>
        <w:t xml:space="preserve"> konferencija sa domjenkom </w:t>
      </w:r>
      <w:r w:rsidR="00F03DA3">
        <w:rPr>
          <w:rFonts w:ascii="Titillium" w:hAnsi="Titillium" w:cs="Arial"/>
          <w:sz w:val="20"/>
          <w:szCs w:val="20"/>
        </w:rPr>
        <w:t xml:space="preserve">povodom </w:t>
      </w:r>
      <w:r w:rsidR="00877F30">
        <w:rPr>
          <w:rFonts w:ascii="Titillium" w:hAnsi="Titillium" w:cs="Arial"/>
          <w:sz w:val="20"/>
          <w:szCs w:val="20"/>
        </w:rPr>
        <w:t xml:space="preserve">završetka projekta SENDER. </w:t>
      </w:r>
    </w:p>
    <w:p w:rsidR="00A53D38" w:rsidRDefault="00A53D38" w:rsidP="0023685F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 xml:space="preserve">Članarine i norme na računu 3294 veće se od prošlogodišnjih </w:t>
      </w:r>
      <w:r w:rsidR="002149AE">
        <w:rPr>
          <w:rFonts w:ascii="Titillium" w:hAnsi="Titillium" w:cs="Arial"/>
          <w:sz w:val="20"/>
          <w:szCs w:val="20"/>
        </w:rPr>
        <w:t xml:space="preserve">(indeks </w:t>
      </w:r>
      <w:r w:rsidR="000760E7">
        <w:rPr>
          <w:rFonts w:ascii="Titillium" w:hAnsi="Titillium" w:cs="Arial"/>
          <w:sz w:val="20"/>
          <w:szCs w:val="20"/>
        </w:rPr>
        <w:t>189,9</w:t>
      </w:r>
      <w:r w:rsidR="002149AE">
        <w:rPr>
          <w:rFonts w:ascii="Titillium" w:hAnsi="Titillium" w:cs="Arial"/>
          <w:sz w:val="20"/>
          <w:szCs w:val="20"/>
        </w:rPr>
        <w:t xml:space="preserve">) </w:t>
      </w:r>
      <w:r>
        <w:rPr>
          <w:rFonts w:ascii="Titillium" w:hAnsi="Titillium" w:cs="Arial"/>
          <w:sz w:val="20"/>
          <w:szCs w:val="20"/>
        </w:rPr>
        <w:t xml:space="preserve">zbog </w:t>
      </w:r>
      <w:r w:rsidR="002149AE">
        <w:rPr>
          <w:rFonts w:ascii="Titillium" w:hAnsi="Titillium" w:cs="Arial"/>
          <w:sz w:val="20"/>
          <w:szCs w:val="20"/>
        </w:rPr>
        <w:t xml:space="preserve">izvršene uplate za </w:t>
      </w:r>
      <w:r w:rsidR="00F6141A">
        <w:rPr>
          <w:rFonts w:ascii="Titillium" w:hAnsi="Titillium" w:cs="Arial"/>
          <w:sz w:val="20"/>
          <w:szCs w:val="20"/>
        </w:rPr>
        <w:t>više</w:t>
      </w:r>
      <w:r w:rsidR="002149AE">
        <w:rPr>
          <w:rFonts w:ascii="Titillium" w:hAnsi="Titillium" w:cs="Arial"/>
          <w:sz w:val="20"/>
          <w:szCs w:val="20"/>
        </w:rPr>
        <w:t xml:space="preserve"> </w:t>
      </w:r>
      <w:proofErr w:type="spellStart"/>
      <w:r w:rsidR="002149AE">
        <w:rPr>
          <w:rFonts w:ascii="Titillium" w:hAnsi="Titillium" w:cs="Arial"/>
          <w:sz w:val="20"/>
          <w:szCs w:val="20"/>
        </w:rPr>
        <w:t>međulaboratorijsk</w:t>
      </w:r>
      <w:r w:rsidR="00B11A38">
        <w:rPr>
          <w:rFonts w:ascii="Titillium" w:hAnsi="Titillium" w:cs="Arial"/>
          <w:sz w:val="20"/>
          <w:szCs w:val="20"/>
        </w:rPr>
        <w:t>ih</w:t>
      </w:r>
      <w:proofErr w:type="spellEnd"/>
      <w:r w:rsidR="002149AE">
        <w:rPr>
          <w:rFonts w:ascii="Titillium" w:hAnsi="Titillium" w:cs="Arial"/>
          <w:sz w:val="20"/>
          <w:szCs w:val="20"/>
        </w:rPr>
        <w:t xml:space="preserve"> usporedb</w:t>
      </w:r>
      <w:r w:rsidR="00B11A38">
        <w:rPr>
          <w:rFonts w:ascii="Titillium" w:hAnsi="Titillium" w:cs="Arial"/>
          <w:sz w:val="20"/>
          <w:szCs w:val="20"/>
        </w:rPr>
        <w:t>i</w:t>
      </w:r>
      <w:r w:rsidR="002149AE">
        <w:rPr>
          <w:rFonts w:ascii="Titillium" w:hAnsi="Titillium" w:cs="Arial"/>
          <w:sz w:val="20"/>
          <w:szCs w:val="20"/>
        </w:rPr>
        <w:t xml:space="preserve"> tijekom 2024.</w:t>
      </w:r>
    </w:p>
    <w:p w:rsidR="00B06CD5" w:rsidRDefault="00B06CD5" w:rsidP="0023685F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>Negativne tečajne razlike i razlike zbog primjene valutne klauzule na računu 3432 iznose 5.1</w:t>
      </w:r>
      <w:r w:rsidR="008919B9">
        <w:rPr>
          <w:rFonts w:ascii="Titillium" w:hAnsi="Titillium" w:cs="Arial"/>
          <w:sz w:val="20"/>
          <w:szCs w:val="20"/>
        </w:rPr>
        <w:t>92</w:t>
      </w:r>
      <w:r>
        <w:rPr>
          <w:rFonts w:ascii="Titillium" w:hAnsi="Titillium" w:cs="Arial"/>
          <w:sz w:val="20"/>
          <w:szCs w:val="20"/>
        </w:rPr>
        <w:t>,</w:t>
      </w:r>
      <w:r w:rsidR="008919B9">
        <w:rPr>
          <w:rFonts w:ascii="Titillium" w:hAnsi="Titillium" w:cs="Arial"/>
          <w:sz w:val="20"/>
          <w:szCs w:val="20"/>
        </w:rPr>
        <w:t>81</w:t>
      </w:r>
      <w:r>
        <w:rPr>
          <w:rFonts w:ascii="Titillium" w:hAnsi="Titillium" w:cs="Arial"/>
          <w:sz w:val="20"/>
          <w:szCs w:val="20"/>
        </w:rPr>
        <w:t xml:space="preserve"> (indeks </w:t>
      </w:r>
      <w:r w:rsidR="008919B9">
        <w:rPr>
          <w:rFonts w:ascii="Titillium" w:hAnsi="Titillium" w:cs="Arial"/>
          <w:sz w:val="20"/>
          <w:szCs w:val="20"/>
        </w:rPr>
        <w:t>63,3</w:t>
      </w:r>
      <w:r>
        <w:rPr>
          <w:rFonts w:ascii="Titillium" w:hAnsi="Titillium" w:cs="Arial"/>
          <w:sz w:val="20"/>
          <w:szCs w:val="20"/>
        </w:rPr>
        <w:t xml:space="preserve">) i </w:t>
      </w:r>
      <w:r w:rsidR="008919B9">
        <w:rPr>
          <w:rFonts w:ascii="Titillium" w:hAnsi="Titillium" w:cs="Arial"/>
          <w:sz w:val="20"/>
          <w:szCs w:val="20"/>
        </w:rPr>
        <w:t>manje</w:t>
      </w:r>
      <w:r>
        <w:rPr>
          <w:rFonts w:ascii="Titillium" w:hAnsi="Titillium" w:cs="Arial"/>
          <w:sz w:val="20"/>
          <w:szCs w:val="20"/>
        </w:rPr>
        <w:t xml:space="preserve"> su u odnosu na prošlu godinu</w:t>
      </w:r>
      <w:r w:rsidR="008919B9">
        <w:rPr>
          <w:rFonts w:ascii="Titillium" w:hAnsi="Titillium" w:cs="Arial"/>
          <w:sz w:val="20"/>
          <w:szCs w:val="20"/>
        </w:rPr>
        <w:t>.</w:t>
      </w:r>
    </w:p>
    <w:p w:rsidR="002149AE" w:rsidRDefault="002149AE" w:rsidP="0023685F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>Zatezne kamate na računu 3433 u iznosu od 6.</w:t>
      </w:r>
      <w:r w:rsidR="008919B9">
        <w:rPr>
          <w:rFonts w:ascii="Titillium" w:hAnsi="Titillium" w:cs="Arial"/>
          <w:sz w:val="20"/>
          <w:szCs w:val="20"/>
        </w:rPr>
        <w:t>307,85</w:t>
      </w:r>
      <w:r>
        <w:rPr>
          <w:rFonts w:ascii="Titillium" w:hAnsi="Titillium" w:cs="Arial"/>
          <w:sz w:val="20"/>
          <w:szCs w:val="20"/>
        </w:rPr>
        <w:t xml:space="preserve"> EUR (indeks 1</w:t>
      </w:r>
      <w:r w:rsidR="008919B9">
        <w:rPr>
          <w:rFonts w:ascii="Titillium" w:hAnsi="Titillium" w:cs="Arial"/>
          <w:sz w:val="20"/>
          <w:szCs w:val="20"/>
        </w:rPr>
        <w:t>18,9</w:t>
      </w:r>
      <w:r>
        <w:rPr>
          <w:rFonts w:ascii="Titillium" w:hAnsi="Titillium" w:cs="Arial"/>
          <w:sz w:val="20"/>
          <w:szCs w:val="20"/>
        </w:rPr>
        <w:t xml:space="preserve">) odnose se na plaćene kamate </w:t>
      </w:r>
      <w:r w:rsidR="007E1707">
        <w:rPr>
          <w:rFonts w:ascii="Titillium" w:hAnsi="Titillium" w:cs="Arial"/>
          <w:sz w:val="20"/>
          <w:szCs w:val="20"/>
        </w:rPr>
        <w:t>temeljem pravomoćnih presuda u sudskim sporovima sa zaposlenicima.</w:t>
      </w:r>
    </w:p>
    <w:p w:rsidR="007E1707" w:rsidRPr="000E6A68" w:rsidRDefault="007E1707" w:rsidP="007E1707">
      <w:pPr>
        <w:spacing w:after="0"/>
        <w:jc w:val="both"/>
        <w:rPr>
          <w:rFonts w:ascii="Titillium" w:eastAsia="Arial" w:hAnsi="Titillium"/>
          <w:i/>
          <w:sz w:val="20"/>
          <w:szCs w:val="20"/>
          <w:lang w:val="en-GB"/>
        </w:rPr>
      </w:pPr>
      <w:r>
        <w:rPr>
          <w:rFonts w:ascii="Titillium" w:hAnsi="Titillium" w:cs="Arial"/>
          <w:sz w:val="20"/>
          <w:szCs w:val="20"/>
        </w:rPr>
        <w:t xml:space="preserve">Na računu 3693 – Tekući prijenosi između proračunskih korisnika istog proračuna temeljem prijenosa EU sredstava evidentiran je iznos od </w:t>
      </w:r>
      <w:r w:rsidR="008919B9">
        <w:rPr>
          <w:rFonts w:ascii="Titillium" w:hAnsi="Titillium" w:cs="Arial"/>
          <w:sz w:val="20"/>
          <w:szCs w:val="20"/>
        </w:rPr>
        <w:t>46.052,13</w:t>
      </w:r>
      <w:r>
        <w:rPr>
          <w:rFonts w:ascii="Titillium" w:hAnsi="Titillium" w:cs="Arial"/>
          <w:sz w:val="20"/>
          <w:szCs w:val="20"/>
        </w:rPr>
        <w:t xml:space="preserve"> EUR koji se odnosi na prijenos EU sredstava partnerima na projektu </w:t>
      </w:r>
      <w:proofErr w:type="spellStart"/>
      <w:r w:rsidRPr="000E6A68">
        <w:rPr>
          <w:rFonts w:ascii="Titillium" w:hAnsi="Titillium"/>
          <w:i/>
          <w:sz w:val="20"/>
          <w:szCs w:val="20"/>
        </w:rPr>
        <w:t>Partnership</w:t>
      </w:r>
      <w:proofErr w:type="spellEnd"/>
      <w:r w:rsidRPr="000E6A68">
        <w:rPr>
          <w:rFonts w:ascii="Titillium" w:hAnsi="Titillium"/>
          <w:i/>
          <w:sz w:val="20"/>
          <w:szCs w:val="20"/>
        </w:rPr>
        <w:t xml:space="preserve"> for European Research </w:t>
      </w:r>
      <w:proofErr w:type="spellStart"/>
      <w:r w:rsidRPr="000E6A68">
        <w:rPr>
          <w:rFonts w:ascii="Titillium" w:hAnsi="Titillium"/>
          <w:i/>
          <w:sz w:val="20"/>
          <w:szCs w:val="20"/>
        </w:rPr>
        <w:t>in</w:t>
      </w:r>
      <w:proofErr w:type="spellEnd"/>
      <w:r w:rsidRPr="000E6A68">
        <w:rPr>
          <w:rFonts w:ascii="Titillium" w:hAnsi="Titillium"/>
          <w:i/>
          <w:sz w:val="20"/>
          <w:szCs w:val="20"/>
        </w:rPr>
        <w:t xml:space="preserve"> </w:t>
      </w:r>
      <w:proofErr w:type="spellStart"/>
      <w:r w:rsidRPr="000E6A68">
        <w:rPr>
          <w:rFonts w:ascii="Titillium" w:hAnsi="Titillium"/>
          <w:i/>
          <w:sz w:val="20"/>
          <w:szCs w:val="20"/>
        </w:rPr>
        <w:t>Radiation</w:t>
      </w:r>
      <w:proofErr w:type="spellEnd"/>
      <w:r w:rsidRPr="000E6A68">
        <w:rPr>
          <w:rFonts w:ascii="Titillium" w:hAnsi="Titillium"/>
          <w:i/>
          <w:sz w:val="20"/>
          <w:szCs w:val="20"/>
        </w:rPr>
        <w:t xml:space="preserve"> Protection </w:t>
      </w:r>
      <w:proofErr w:type="spellStart"/>
      <w:r w:rsidRPr="000E6A68">
        <w:rPr>
          <w:rFonts w:ascii="Titillium" w:hAnsi="Titillium"/>
          <w:i/>
          <w:sz w:val="20"/>
          <w:szCs w:val="20"/>
        </w:rPr>
        <w:t>and</w:t>
      </w:r>
      <w:proofErr w:type="spellEnd"/>
      <w:r w:rsidRPr="000E6A68">
        <w:rPr>
          <w:rFonts w:ascii="Titillium" w:hAnsi="Titillium"/>
          <w:i/>
          <w:sz w:val="20"/>
          <w:szCs w:val="20"/>
        </w:rPr>
        <w:t xml:space="preserve"> </w:t>
      </w:r>
      <w:proofErr w:type="spellStart"/>
      <w:r w:rsidRPr="000E6A68">
        <w:rPr>
          <w:rFonts w:ascii="Titillium" w:hAnsi="Titillium"/>
          <w:i/>
          <w:sz w:val="20"/>
          <w:szCs w:val="20"/>
        </w:rPr>
        <w:t>Detection</w:t>
      </w:r>
      <w:proofErr w:type="spellEnd"/>
      <w:r w:rsidRPr="000E6A68">
        <w:rPr>
          <w:rFonts w:ascii="Titillium" w:hAnsi="Titillium"/>
          <w:i/>
          <w:sz w:val="20"/>
          <w:szCs w:val="20"/>
        </w:rPr>
        <w:t xml:space="preserve"> </w:t>
      </w:r>
      <w:proofErr w:type="spellStart"/>
      <w:r w:rsidRPr="000E6A68">
        <w:rPr>
          <w:rFonts w:ascii="Titillium" w:hAnsi="Titillium"/>
          <w:i/>
          <w:sz w:val="20"/>
          <w:szCs w:val="20"/>
        </w:rPr>
        <w:t>of</w:t>
      </w:r>
      <w:proofErr w:type="spellEnd"/>
      <w:r w:rsidRPr="000E6A68">
        <w:rPr>
          <w:rFonts w:ascii="Titillium" w:hAnsi="Titillium"/>
          <w:i/>
          <w:sz w:val="20"/>
          <w:szCs w:val="20"/>
        </w:rPr>
        <w:t xml:space="preserve"> </w:t>
      </w:r>
      <w:proofErr w:type="spellStart"/>
      <w:r w:rsidRPr="000E6A68">
        <w:rPr>
          <w:rFonts w:ascii="Titillium" w:hAnsi="Titillium"/>
          <w:i/>
          <w:sz w:val="20"/>
          <w:szCs w:val="20"/>
        </w:rPr>
        <w:t>Ionising</w:t>
      </w:r>
      <w:proofErr w:type="spellEnd"/>
      <w:r w:rsidRPr="000E6A68">
        <w:rPr>
          <w:rFonts w:ascii="Titillium" w:hAnsi="Titillium"/>
          <w:i/>
          <w:sz w:val="20"/>
          <w:szCs w:val="20"/>
        </w:rPr>
        <w:t xml:space="preserve"> </w:t>
      </w:r>
      <w:proofErr w:type="spellStart"/>
      <w:r w:rsidRPr="000E6A68">
        <w:rPr>
          <w:rFonts w:ascii="Titillium" w:hAnsi="Titillium"/>
          <w:i/>
          <w:sz w:val="20"/>
          <w:szCs w:val="20"/>
        </w:rPr>
        <w:t>Radiation</w:t>
      </w:r>
      <w:proofErr w:type="spellEnd"/>
      <w:r w:rsidRPr="000E6A68">
        <w:rPr>
          <w:rFonts w:ascii="Titillium" w:hAnsi="Titillium"/>
          <w:i/>
          <w:sz w:val="20"/>
          <w:szCs w:val="20"/>
        </w:rPr>
        <w:t xml:space="preserve">: </w:t>
      </w:r>
      <w:proofErr w:type="spellStart"/>
      <w:r w:rsidRPr="000E6A68">
        <w:rPr>
          <w:rFonts w:ascii="Titillium" w:hAnsi="Titillium"/>
          <w:i/>
          <w:sz w:val="20"/>
          <w:szCs w:val="20"/>
        </w:rPr>
        <w:t>towards</w:t>
      </w:r>
      <w:proofErr w:type="spellEnd"/>
      <w:r w:rsidRPr="000E6A68">
        <w:rPr>
          <w:rFonts w:ascii="Titillium" w:hAnsi="Titillium"/>
          <w:i/>
          <w:sz w:val="20"/>
          <w:szCs w:val="20"/>
        </w:rPr>
        <w:t xml:space="preserve"> a </w:t>
      </w:r>
      <w:proofErr w:type="spellStart"/>
      <w:r w:rsidRPr="000E6A68">
        <w:rPr>
          <w:rFonts w:ascii="Titillium" w:hAnsi="Titillium"/>
          <w:i/>
          <w:sz w:val="20"/>
          <w:szCs w:val="20"/>
        </w:rPr>
        <w:t>safer</w:t>
      </w:r>
      <w:proofErr w:type="spellEnd"/>
      <w:r w:rsidRPr="000E6A68">
        <w:rPr>
          <w:rFonts w:ascii="Titillium" w:hAnsi="Titillium"/>
          <w:i/>
          <w:sz w:val="20"/>
          <w:szCs w:val="20"/>
        </w:rPr>
        <w:t xml:space="preserve"> use </w:t>
      </w:r>
      <w:proofErr w:type="spellStart"/>
      <w:r w:rsidRPr="000E6A68">
        <w:rPr>
          <w:rFonts w:ascii="Titillium" w:hAnsi="Titillium"/>
          <w:i/>
          <w:sz w:val="20"/>
          <w:szCs w:val="20"/>
        </w:rPr>
        <w:t>and</w:t>
      </w:r>
      <w:proofErr w:type="spellEnd"/>
      <w:r w:rsidRPr="000E6A68">
        <w:rPr>
          <w:rFonts w:ascii="Titillium" w:hAnsi="Titillium"/>
          <w:i/>
          <w:sz w:val="20"/>
          <w:szCs w:val="20"/>
        </w:rPr>
        <w:t xml:space="preserve"> </w:t>
      </w:r>
      <w:proofErr w:type="spellStart"/>
      <w:r w:rsidRPr="000E6A68">
        <w:rPr>
          <w:rFonts w:ascii="Titillium" w:hAnsi="Titillium"/>
          <w:i/>
          <w:sz w:val="20"/>
          <w:szCs w:val="20"/>
        </w:rPr>
        <w:t>improved</w:t>
      </w:r>
      <w:proofErr w:type="spellEnd"/>
      <w:r w:rsidRPr="000E6A68">
        <w:rPr>
          <w:rFonts w:ascii="Titillium" w:hAnsi="Titillium"/>
          <w:i/>
          <w:sz w:val="20"/>
          <w:szCs w:val="20"/>
        </w:rPr>
        <w:t xml:space="preserve"> </w:t>
      </w:r>
      <w:proofErr w:type="spellStart"/>
      <w:r w:rsidRPr="000E6A68">
        <w:rPr>
          <w:rFonts w:ascii="Titillium" w:hAnsi="Titillium"/>
          <w:i/>
          <w:sz w:val="20"/>
          <w:szCs w:val="20"/>
        </w:rPr>
        <w:t>protection</w:t>
      </w:r>
      <w:proofErr w:type="spellEnd"/>
      <w:r w:rsidRPr="000E6A68">
        <w:rPr>
          <w:rFonts w:ascii="Titillium" w:hAnsi="Titillium"/>
          <w:i/>
          <w:sz w:val="20"/>
          <w:szCs w:val="20"/>
        </w:rPr>
        <w:t xml:space="preserve"> </w:t>
      </w:r>
      <w:proofErr w:type="spellStart"/>
      <w:r w:rsidRPr="000E6A68">
        <w:rPr>
          <w:rFonts w:ascii="Titillium" w:hAnsi="Titillium"/>
          <w:i/>
          <w:sz w:val="20"/>
          <w:szCs w:val="20"/>
        </w:rPr>
        <w:t>of</w:t>
      </w:r>
      <w:proofErr w:type="spellEnd"/>
      <w:r w:rsidRPr="000E6A68">
        <w:rPr>
          <w:rFonts w:ascii="Titillium" w:hAnsi="Titillium"/>
          <w:i/>
          <w:sz w:val="20"/>
          <w:szCs w:val="20"/>
        </w:rPr>
        <w:t xml:space="preserve"> </w:t>
      </w:r>
      <w:proofErr w:type="spellStart"/>
      <w:r w:rsidRPr="000E6A68">
        <w:rPr>
          <w:rFonts w:ascii="Titillium" w:hAnsi="Titillium"/>
          <w:i/>
          <w:sz w:val="20"/>
          <w:szCs w:val="20"/>
        </w:rPr>
        <w:t>the</w:t>
      </w:r>
      <w:proofErr w:type="spellEnd"/>
      <w:r w:rsidRPr="000E6A68">
        <w:rPr>
          <w:rFonts w:ascii="Titillium" w:hAnsi="Titillium"/>
          <w:i/>
          <w:sz w:val="20"/>
          <w:szCs w:val="20"/>
        </w:rPr>
        <w:t xml:space="preserve"> </w:t>
      </w:r>
      <w:proofErr w:type="spellStart"/>
      <w:r w:rsidRPr="000E6A68">
        <w:rPr>
          <w:rFonts w:ascii="Titillium" w:hAnsi="Titillium"/>
          <w:i/>
          <w:sz w:val="20"/>
          <w:szCs w:val="20"/>
        </w:rPr>
        <w:t>environment</w:t>
      </w:r>
      <w:proofErr w:type="spellEnd"/>
      <w:r w:rsidRPr="000E6A68">
        <w:rPr>
          <w:rFonts w:ascii="Titillium" w:hAnsi="Titillium"/>
          <w:i/>
          <w:sz w:val="20"/>
          <w:szCs w:val="20"/>
        </w:rPr>
        <w:t xml:space="preserve"> </w:t>
      </w:r>
      <w:proofErr w:type="spellStart"/>
      <w:r w:rsidRPr="000E6A68">
        <w:rPr>
          <w:rFonts w:ascii="Titillium" w:hAnsi="Titillium"/>
          <w:i/>
          <w:sz w:val="20"/>
          <w:szCs w:val="20"/>
        </w:rPr>
        <w:t>and</w:t>
      </w:r>
      <w:proofErr w:type="spellEnd"/>
      <w:r w:rsidRPr="000E6A68">
        <w:rPr>
          <w:rFonts w:ascii="Titillium" w:hAnsi="Titillium"/>
          <w:i/>
          <w:sz w:val="20"/>
          <w:szCs w:val="20"/>
        </w:rPr>
        <w:t xml:space="preserve"> human </w:t>
      </w:r>
      <w:proofErr w:type="spellStart"/>
      <w:r w:rsidRPr="000E6A68">
        <w:rPr>
          <w:rFonts w:ascii="Titillium" w:hAnsi="Titillium"/>
          <w:i/>
          <w:sz w:val="20"/>
          <w:szCs w:val="20"/>
        </w:rPr>
        <w:t>health</w:t>
      </w:r>
      <w:proofErr w:type="spellEnd"/>
      <w:r w:rsidRPr="000E6A68">
        <w:rPr>
          <w:rFonts w:ascii="Titillium" w:hAnsi="Titillium"/>
          <w:i/>
          <w:sz w:val="20"/>
          <w:szCs w:val="20"/>
        </w:rPr>
        <w:t xml:space="preserve">” </w:t>
      </w:r>
      <w:r w:rsidRPr="000E6A68">
        <w:rPr>
          <w:rFonts w:ascii="Titillium" w:hAnsi="Titillium"/>
          <w:i/>
          <w:sz w:val="20"/>
          <w:szCs w:val="20"/>
          <w:lang w:val="en-GB"/>
        </w:rPr>
        <w:t>PIANOFORTE</w:t>
      </w:r>
      <w:r>
        <w:rPr>
          <w:rFonts w:ascii="Titillium" w:hAnsi="Titillium"/>
          <w:i/>
          <w:sz w:val="20"/>
          <w:szCs w:val="20"/>
          <w:lang w:val="en-GB"/>
        </w:rPr>
        <w:t>.</w:t>
      </w:r>
    </w:p>
    <w:p w:rsidR="00B06CD5" w:rsidRDefault="00B06CD5" w:rsidP="0023685F">
      <w:pPr>
        <w:spacing w:after="0"/>
        <w:jc w:val="both"/>
        <w:rPr>
          <w:rFonts w:ascii="Titillium" w:hAnsi="Titillium" w:cs="Arial"/>
          <w:sz w:val="20"/>
          <w:szCs w:val="20"/>
        </w:rPr>
      </w:pPr>
    </w:p>
    <w:p w:rsidR="0023685F" w:rsidRPr="00A16AAB" w:rsidRDefault="0023685F" w:rsidP="0023685F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A16AAB">
        <w:rPr>
          <w:rFonts w:ascii="Titillium" w:hAnsi="Titillium" w:cs="Arial"/>
          <w:sz w:val="20"/>
          <w:szCs w:val="20"/>
        </w:rPr>
        <w:t xml:space="preserve">Na kraju obračunskog razdoblja višak prihoda poslovanja (X001) iznosi </w:t>
      </w:r>
      <w:r w:rsidR="001A254C">
        <w:rPr>
          <w:rFonts w:ascii="Titillium" w:hAnsi="Titillium" w:cs="Arial"/>
          <w:sz w:val="20"/>
          <w:szCs w:val="20"/>
        </w:rPr>
        <w:t>4</w:t>
      </w:r>
      <w:r w:rsidR="0061021E">
        <w:rPr>
          <w:rFonts w:ascii="Titillium" w:hAnsi="Titillium" w:cs="Arial"/>
          <w:sz w:val="20"/>
          <w:szCs w:val="20"/>
        </w:rPr>
        <w:t>.</w:t>
      </w:r>
      <w:r w:rsidR="001A254C">
        <w:rPr>
          <w:rFonts w:ascii="Titillium" w:hAnsi="Titillium" w:cs="Arial"/>
          <w:sz w:val="20"/>
          <w:szCs w:val="20"/>
        </w:rPr>
        <w:t>132</w:t>
      </w:r>
      <w:r w:rsidR="0061021E">
        <w:rPr>
          <w:rFonts w:ascii="Titillium" w:hAnsi="Titillium" w:cs="Arial"/>
          <w:sz w:val="20"/>
          <w:szCs w:val="20"/>
        </w:rPr>
        <w:t>.</w:t>
      </w:r>
      <w:r w:rsidR="001A254C">
        <w:rPr>
          <w:rFonts w:ascii="Titillium" w:hAnsi="Titillium" w:cs="Arial"/>
          <w:sz w:val="20"/>
          <w:szCs w:val="20"/>
        </w:rPr>
        <w:t>920,59</w:t>
      </w:r>
      <w:r w:rsidR="0061021E">
        <w:rPr>
          <w:rFonts w:ascii="Titillium" w:hAnsi="Titillium" w:cs="Arial"/>
          <w:sz w:val="20"/>
          <w:szCs w:val="20"/>
        </w:rPr>
        <w:t xml:space="preserve"> EUR.</w:t>
      </w:r>
    </w:p>
    <w:p w:rsidR="00754EE1" w:rsidRDefault="00754EE1" w:rsidP="0019132D">
      <w:pPr>
        <w:spacing w:after="0"/>
        <w:rPr>
          <w:rFonts w:ascii="Titillium" w:hAnsi="Titillium" w:cs="Arial"/>
          <w:sz w:val="20"/>
          <w:szCs w:val="20"/>
        </w:rPr>
      </w:pPr>
    </w:p>
    <w:p w:rsidR="0019132D" w:rsidRPr="00015E4A" w:rsidRDefault="0019132D" w:rsidP="0019132D">
      <w:pPr>
        <w:spacing w:after="0"/>
        <w:rPr>
          <w:rFonts w:ascii="Titillium" w:hAnsi="Titillium" w:cs="Arial"/>
          <w:sz w:val="20"/>
          <w:szCs w:val="20"/>
        </w:rPr>
      </w:pPr>
      <w:r w:rsidRPr="00015E4A">
        <w:rPr>
          <w:rFonts w:ascii="Titillium" w:hAnsi="Titillium" w:cs="Arial"/>
          <w:sz w:val="20"/>
          <w:szCs w:val="20"/>
        </w:rPr>
        <w:t>PRIHODI I RASHODI OD NEFINANCIJSKE IMOVINE</w:t>
      </w:r>
    </w:p>
    <w:p w:rsidR="0019132D" w:rsidRPr="00A16AAB" w:rsidRDefault="0019132D" w:rsidP="0019132D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A16AAB">
        <w:rPr>
          <w:rFonts w:ascii="Titillium" w:hAnsi="Titillium" w:cs="Arial"/>
          <w:b/>
          <w:sz w:val="20"/>
          <w:szCs w:val="20"/>
        </w:rPr>
        <w:t>Prihodi</w:t>
      </w:r>
      <w:r w:rsidRPr="00A16AAB">
        <w:rPr>
          <w:rFonts w:ascii="Titillium" w:hAnsi="Titillium" w:cs="Arial"/>
          <w:sz w:val="20"/>
          <w:szCs w:val="20"/>
        </w:rPr>
        <w:t xml:space="preserve"> od prodaje nefinancijske imovine (7) iznose </w:t>
      </w:r>
      <w:r w:rsidR="0064432C">
        <w:rPr>
          <w:rFonts w:ascii="Titillium" w:hAnsi="Titillium" w:cs="Arial"/>
          <w:sz w:val="20"/>
          <w:szCs w:val="20"/>
        </w:rPr>
        <w:t>2.</w:t>
      </w:r>
      <w:r w:rsidR="00307F39">
        <w:rPr>
          <w:rFonts w:ascii="Titillium" w:hAnsi="Titillium" w:cs="Arial"/>
          <w:sz w:val="20"/>
          <w:szCs w:val="20"/>
        </w:rPr>
        <w:t>798,64</w:t>
      </w:r>
      <w:r w:rsidR="00964A48">
        <w:rPr>
          <w:rFonts w:ascii="Titillium" w:hAnsi="Titillium" w:cs="Arial"/>
          <w:sz w:val="20"/>
          <w:szCs w:val="20"/>
        </w:rPr>
        <w:t xml:space="preserve"> EUR</w:t>
      </w:r>
      <w:r w:rsidRPr="00A16AAB">
        <w:rPr>
          <w:rFonts w:ascii="Titillium" w:hAnsi="Titillium" w:cs="Arial"/>
          <w:sz w:val="20"/>
          <w:szCs w:val="20"/>
        </w:rPr>
        <w:t>, a ostvareni su prodajom stanova na kojima postoji stanarsko pravo</w:t>
      </w:r>
      <w:r w:rsidR="00964A48">
        <w:rPr>
          <w:rFonts w:ascii="Titillium" w:hAnsi="Titillium" w:cs="Arial"/>
          <w:sz w:val="20"/>
          <w:szCs w:val="20"/>
        </w:rPr>
        <w:t xml:space="preserve"> (račun 7211)</w:t>
      </w:r>
      <w:r w:rsidR="0064432C">
        <w:rPr>
          <w:rFonts w:ascii="Titillium" w:hAnsi="Titillium" w:cs="Arial"/>
          <w:sz w:val="20"/>
          <w:szCs w:val="20"/>
        </w:rPr>
        <w:t xml:space="preserve"> u iznosu od 0,14 EUR  i službenog automobila </w:t>
      </w:r>
      <w:r w:rsidR="00F3417D">
        <w:rPr>
          <w:rFonts w:ascii="Titillium" w:hAnsi="Titillium" w:cs="Arial"/>
          <w:sz w:val="20"/>
          <w:szCs w:val="20"/>
        </w:rPr>
        <w:t xml:space="preserve">(račun7231) </w:t>
      </w:r>
      <w:r w:rsidR="0064432C">
        <w:rPr>
          <w:rFonts w:ascii="Titillium" w:hAnsi="Titillium" w:cs="Arial"/>
          <w:sz w:val="20"/>
          <w:szCs w:val="20"/>
        </w:rPr>
        <w:t>u iznosu od 2.</w:t>
      </w:r>
      <w:r w:rsidR="00307F39">
        <w:rPr>
          <w:rFonts w:ascii="Titillium" w:hAnsi="Titillium" w:cs="Arial"/>
          <w:sz w:val="20"/>
          <w:szCs w:val="20"/>
        </w:rPr>
        <w:t>798,50</w:t>
      </w:r>
      <w:r w:rsidR="0064432C">
        <w:rPr>
          <w:rFonts w:ascii="Titillium" w:hAnsi="Titillium" w:cs="Arial"/>
          <w:sz w:val="20"/>
          <w:szCs w:val="20"/>
        </w:rPr>
        <w:t xml:space="preserve"> EUR.</w:t>
      </w:r>
      <w:r w:rsidR="00964A48">
        <w:rPr>
          <w:rFonts w:ascii="Titillium" w:hAnsi="Titillium" w:cs="Arial"/>
          <w:sz w:val="20"/>
          <w:szCs w:val="20"/>
        </w:rPr>
        <w:t xml:space="preserve"> U odnosu na prošlu godinu indeks je </w:t>
      </w:r>
      <w:r w:rsidR="0064432C">
        <w:rPr>
          <w:rFonts w:ascii="Titillium" w:hAnsi="Titillium" w:cs="Arial"/>
          <w:sz w:val="20"/>
          <w:szCs w:val="20"/>
        </w:rPr>
        <w:t>5.</w:t>
      </w:r>
      <w:r w:rsidR="00307F39">
        <w:rPr>
          <w:rFonts w:ascii="Titillium" w:hAnsi="Titillium" w:cs="Arial"/>
          <w:sz w:val="20"/>
          <w:szCs w:val="20"/>
        </w:rPr>
        <w:t>48</w:t>
      </w:r>
      <w:r w:rsidR="001C078D">
        <w:rPr>
          <w:rFonts w:ascii="Titillium" w:hAnsi="Titillium" w:cs="Arial"/>
          <w:sz w:val="20"/>
          <w:szCs w:val="20"/>
        </w:rPr>
        <w:t>3</w:t>
      </w:r>
      <w:r w:rsidR="00307F39">
        <w:rPr>
          <w:rFonts w:ascii="Titillium" w:hAnsi="Titillium" w:cs="Arial"/>
          <w:sz w:val="20"/>
          <w:szCs w:val="20"/>
        </w:rPr>
        <w:t>,2</w:t>
      </w:r>
      <w:r w:rsidR="00964A48">
        <w:rPr>
          <w:rFonts w:ascii="Titillium" w:hAnsi="Titillium" w:cs="Arial"/>
          <w:sz w:val="20"/>
          <w:szCs w:val="20"/>
        </w:rPr>
        <w:t xml:space="preserve"> jer </w:t>
      </w:r>
      <w:r w:rsidR="0064432C">
        <w:rPr>
          <w:rFonts w:ascii="Titillium" w:hAnsi="Titillium" w:cs="Arial"/>
          <w:sz w:val="20"/>
          <w:szCs w:val="20"/>
        </w:rPr>
        <w:t>se od prodaje stanova na kojima je postojalo stanarsko pravo ostvaruje zanemariv prihod a u prethodnoj godini nije bilo prodaje automobila.</w:t>
      </w:r>
    </w:p>
    <w:p w:rsidR="00061B52" w:rsidRDefault="0019132D" w:rsidP="0019132D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A16AAB">
        <w:rPr>
          <w:rFonts w:ascii="Titillium" w:hAnsi="Titillium" w:cs="Arial"/>
          <w:b/>
          <w:sz w:val="20"/>
          <w:szCs w:val="20"/>
        </w:rPr>
        <w:t>Rashodi</w:t>
      </w:r>
      <w:r w:rsidRPr="00A16AAB">
        <w:rPr>
          <w:rFonts w:ascii="Titillium" w:hAnsi="Titillium" w:cs="Arial"/>
          <w:sz w:val="20"/>
          <w:szCs w:val="20"/>
        </w:rPr>
        <w:t xml:space="preserve"> za nabavu nefinancijske imovine (4) u obračunskom razdoblju iznose </w:t>
      </w:r>
      <w:r w:rsidR="00624F9F">
        <w:rPr>
          <w:rFonts w:ascii="Titillium" w:hAnsi="Titillium" w:cs="Arial"/>
          <w:sz w:val="20"/>
          <w:szCs w:val="20"/>
        </w:rPr>
        <w:t>2.</w:t>
      </w:r>
      <w:r w:rsidR="00D11B1C">
        <w:rPr>
          <w:rFonts w:ascii="Titillium" w:hAnsi="Titillium" w:cs="Arial"/>
          <w:sz w:val="20"/>
          <w:szCs w:val="20"/>
        </w:rPr>
        <w:t>556</w:t>
      </w:r>
      <w:r w:rsidR="00624F9F">
        <w:rPr>
          <w:rFonts w:ascii="Titillium" w:hAnsi="Titillium" w:cs="Arial"/>
          <w:sz w:val="20"/>
          <w:szCs w:val="20"/>
        </w:rPr>
        <w:t>.</w:t>
      </w:r>
      <w:r w:rsidR="00D11B1C">
        <w:rPr>
          <w:rFonts w:ascii="Titillium" w:hAnsi="Titillium" w:cs="Arial"/>
          <w:sz w:val="20"/>
          <w:szCs w:val="20"/>
        </w:rPr>
        <w:t>820,73</w:t>
      </w:r>
      <w:r w:rsidR="0053315F">
        <w:rPr>
          <w:rFonts w:ascii="Titillium" w:hAnsi="Titillium" w:cs="Arial"/>
          <w:sz w:val="20"/>
          <w:szCs w:val="20"/>
        </w:rPr>
        <w:t xml:space="preserve"> EUR</w:t>
      </w:r>
      <w:r w:rsidR="00781453">
        <w:rPr>
          <w:rFonts w:ascii="Titillium" w:hAnsi="Titillium" w:cs="Arial"/>
          <w:sz w:val="20"/>
          <w:szCs w:val="20"/>
        </w:rPr>
        <w:t xml:space="preserve">. </w:t>
      </w:r>
    </w:p>
    <w:p w:rsidR="00AB5D2C" w:rsidRDefault="00C3192C" w:rsidP="0019132D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>Na računu 4221 – uredska oprema i namještaj i</w:t>
      </w:r>
      <w:r w:rsidR="00781453">
        <w:rPr>
          <w:rFonts w:ascii="Titillium" w:hAnsi="Titillium" w:cs="Arial"/>
          <w:sz w:val="20"/>
          <w:szCs w:val="20"/>
        </w:rPr>
        <w:t xml:space="preserve">znos je manji nego prethodne godine (indeks </w:t>
      </w:r>
      <w:r w:rsidR="00D11B1C">
        <w:rPr>
          <w:rFonts w:ascii="Titillium" w:hAnsi="Titillium" w:cs="Arial"/>
          <w:sz w:val="20"/>
          <w:szCs w:val="20"/>
        </w:rPr>
        <w:t>7,1</w:t>
      </w:r>
      <w:r w:rsidR="00781453">
        <w:rPr>
          <w:rFonts w:ascii="Titillium" w:hAnsi="Titillium" w:cs="Arial"/>
          <w:sz w:val="20"/>
          <w:szCs w:val="20"/>
        </w:rPr>
        <w:t>) jer je tijekom 202</w:t>
      </w:r>
      <w:r w:rsidR="00C4021E">
        <w:rPr>
          <w:rFonts w:ascii="Titillium" w:hAnsi="Titillium" w:cs="Arial"/>
          <w:sz w:val="20"/>
          <w:szCs w:val="20"/>
        </w:rPr>
        <w:t>3</w:t>
      </w:r>
      <w:r w:rsidR="00781453">
        <w:rPr>
          <w:rFonts w:ascii="Titillium" w:hAnsi="Titillium" w:cs="Arial"/>
          <w:sz w:val="20"/>
          <w:szCs w:val="20"/>
        </w:rPr>
        <w:t xml:space="preserve">. nabavljen </w:t>
      </w:r>
      <w:r w:rsidR="00682B15">
        <w:rPr>
          <w:rFonts w:ascii="Titillium" w:hAnsi="Titillium" w:cs="Arial"/>
          <w:sz w:val="20"/>
          <w:szCs w:val="20"/>
        </w:rPr>
        <w:t>preostal</w:t>
      </w:r>
      <w:r w:rsidR="0039473C">
        <w:rPr>
          <w:rFonts w:ascii="Titillium" w:hAnsi="Titillium" w:cs="Arial"/>
          <w:sz w:val="20"/>
          <w:szCs w:val="20"/>
        </w:rPr>
        <w:t>i uredski i laboratorijski namještaj</w:t>
      </w:r>
      <w:r w:rsidR="00682B15">
        <w:rPr>
          <w:rFonts w:ascii="Titillium" w:hAnsi="Titillium" w:cs="Arial"/>
          <w:sz w:val="20"/>
          <w:szCs w:val="20"/>
        </w:rPr>
        <w:t xml:space="preserve"> </w:t>
      </w:r>
      <w:r w:rsidR="00781453">
        <w:rPr>
          <w:rFonts w:ascii="Titillium" w:hAnsi="Titillium" w:cs="Arial"/>
          <w:sz w:val="20"/>
          <w:szCs w:val="20"/>
        </w:rPr>
        <w:t>predviđen projektom</w:t>
      </w:r>
      <w:r w:rsidR="00113F9E">
        <w:rPr>
          <w:rFonts w:ascii="Titillium" w:hAnsi="Titillium" w:cs="Arial"/>
          <w:sz w:val="20"/>
          <w:szCs w:val="20"/>
        </w:rPr>
        <w:t xml:space="preserve"> </w:t>
      </w:r>
      <w:r w:rsidR="00113F9E" w:rsidRPr="000522A3">
        <w:rPr>
          <w:rFonts w:ascii="Titillium" w:hAnsi="Titillium" w:cs="Arial"/>
          <w:i/>
          <w:sz w:val="20"/>
          <w:szCs w:val="20"/>
        </w:rPr>
        <w:t>Istraživačko-edukacijski centar za zdravstvenu i medicinsku ekologiju i zaštitu od zračenja</w:t>
      </w:r>
      <w:r w:rsidR="00113F9E" w:rsidRPr="000522A3">
        <w:rPr>
          <w:rFonts w:ascii="Titillium" w:hAnsi="Titillium" w:cs="Arial"/>
          <w:sz w:val="20"/>
          <w:szCs w:val="20"/>
        </w:rPr>
        <w:t xml:space="preserve"> – </w:t>
      </w:r>
      <w:r w:rsidR="00113F9E" w:rsidRPr="000522A3">
        <w:rPr>
          <w:rFonts w:ascii="Titillium" w:hAnsi="Titillium" w:cs="Arial"/>
          <w:i/>
          <w:sz w:val="20"/>
          <w:szCs w:val="20"/>
        </w:rPr>
        <w:t>Rekonstrukcija i dogradnja Instituta za medicinska istraživanja i medicinu rada u Zagre</w:t>
      </w:r>
      <w:r>
        <w:rPr>
          <w:rFonts w:ascii="Titillium" w:hAnsi="Titillium" w:cs="Arial"/>
          <w:i/>
          <w:sz w:val="20"/>
          <w:szCs w:val="20"/>
        </w:rPr>
        <w:t>bu.</w:t>
      </w:r>
    </w:p>
    <w:p w:rsidR="00F811BD" w:rsidRDefault="00F811BD" w:rsidP="0019132D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 xml:space="preserve">Na računu 4222 </w:t>
      </w:r>
      <w:r w:rsidR="00BD3185">
        <w:rPr>
          <w:rFonts w:ascii="Titillium" w:hAnsi="Titillium" w:cs="Arial"/>
          <w:sz w:val="20"/>
          <w:szCs w:val="20"/>
        </w:rPr>
        <w:t>– komunikacijska oprema</w:t>
      </w:r>
      <w:r w:rsidR="00B3468F">
        <w:rPr>
          <w:rFonts w:ascii="Titillium" w:hAnsi="Titillium" w:cs="Arial"/>
          <w:sz w:val="20"/>
          <w:szCs w:val="20"/>
        </w:rPr>
        <w:t xml:space="preserve"> je </w:t>
      </w:r>
      <w:r w:rsidR="00BD3185">
        <w:rPr>
          <w:rFonts w:ascii="Titillium" w:hAnsi="Titillium" w:cs="Arial"/>
          <w:sz w:val="20"/>
          <w:szCs w:val="20"/>
        </w:rPr>
        <w:t xml:space="preserve">prethodne godine bio evidentiran </w:t>
      </w:r>
      <w:r w:rsidR="00B3468F">
        <w:rPr>
          <w:rFonts w:ascii="Titillium" w:hAnsi="Titillium" w:cs="Arial"/>
          <w:sz w:val="20"/>
          <w:szCs w:val="20"/>
        </w:rPr>
        <w:t xml:space="preserve">veći </w:t>
      </w:r>
      <w:r w:rsidR="00BD3185">
        <w:rPr>
          <w:rFonts w:ascii="Titillium" w:hAnsi="Titillium" w:cs="Arial"/>
          <w:sz w:val="20"/>
          <w:szCs w:val="20"/>
        </w:rPr>
        <w:t>i</w:t>
      </w:r>
      <w:r>
        <w:rPr>
          <w:rFonts w:ascii="Titillium" w:hAnsi="Titillium" w:cs="Arial"/>
          <w:sz w:val="20"/>
          <w:szCs w:val="20"/>
        </w:rPr>
        <w:t>znos jer je nabavljen sustav za kontrolu pristupa u novoj zgradi.</w:t>
      </w:r>
      <w:r w:rsidR="00BD3185">
        <w:rPr>
          <w:rFonts w:ascii="Titillium" w:hAnsi="Titillium" w:cs="Arial"/>
          <w:sz w:val="20"/>
          <w:szCs w:val="20"/>
        </w:rPr>
        <w:t xml:space="preserve"> U 2024</w:t>
      </w:r>
      <w:r w:rsidR="00762B86">
        <w:rPr>
          <w:rFonts w:ascii="Titillium" w:hAnsi="Titillium" w:cs="Arial"/>
          <w:sz w:val="20"/>
          <w:szCs w:val="20"/>
        </w:rPr>
        <w:t>.</w:t>
      </w:r>
      <w:r w:rsidR="00BD3185">
        <w:rPr>
          <w:rFonts w:ascii="Titillium" w:hAnsi="Titillium" w:cs="Arial"/>
          <w:sz w:val="20"/>
          <w:szCs w:val="20"/>
        </w:rPr>
        <w:t xml:space="preserve"> godini</w:t>
      </w:r>
      <w:r w:rsidR="003C2334">
        <w:rPr>
          <w:rFonts w:ascii="Titillium" w:hAnsi="Titillium" w:cs="Arial"/>
          <w:sz w:val="20"/>
          <w:szCs w:val="20"/>
        </w:rPr>
        <w:t xml:space="preserve"> evidentirani </w:t>
      </w:r>
      <w:r w:rsidR="00BD3185">
        <w:rPr>
          <w:rFonts w:ascii="Titillium" w:hAnsi="Titillium" w:cs="Arial"/>
          <w:sz w:val="20"/>
          <w:szCs w:val="20"/>
        </w:rPr>
        <w:t xml:space="preserve"> iznos je </w:t>
      </w:r>
      <w:r w:rsidR="00D11B1C">
        <w:rPr>
          <w:rFonts w:ascii="Titillium" w:hAnsi="Titillium" w:cs="Arial"/>
          <w:sz w:val="20"/>
          <w:szCs w:val="20"/>
        </w:rPr>
        <w:t xml:space="preserve">10.424,47 EUR </w:t>
      </w:r>
      <w:r w:rsidR="003C2334">
        <w:rPr>
          <w:rFonts w:ascii="Titillium" w:hAnsi="Titillium" w:cs="Arial"/>
          <w:sz w:val="20"/>
          <w:szCs w:val="20"/>
        </w:rPr>
        <w:t xml:space="preserve"> (indeks </w:t>
      </w:r>
      <w:r w:rsidR="00D11B1C">
        <w:rPr>
          <w:rFonts w:ascii="Titillium" w:hAnsi="Titillium" w:cs="Arial"/>
          <w:sz w:val="20"/>
          <w:szCs w:val="20"/>
        </w:rPr>
        <w:t>66,4</w:t>
      </w:r>
      <w:r w:rsidR="003C2334">
        <w:rPr>
          <w:rFonts w:ascii="Titillium" w:hAnsi="Titillium" w:cs="Arial"/>
          <w:sz w:val="20"/>
          <w:szCs w:val="20"/>
        </w:rPr>
        <w:t>)</w:t>
      </w:r>
    </w:p>
    <w:p w:rsidR="00F811BD" w:rsidRDefault="00F811BD" w:rsidP="0019132D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>Na račun</w:t>
      </w:r>
      <w:r w:rsidR="00762B86">
        <w:rPr>
          <w:rFonts w:ascii="Titillium" w:hAnsi="Titillium" w:cs="Arial"/>
          <w:sz w:val="20"/>
          <w:szCs w:val="20"/>
        </w:rPr>
        <w:t>u</w:t>
      </w:r>
      <w:r>
        <w:rPr>
          <w:rFonts w:ascii="Titillium" w:hAnsi="Titillium" w:cs="Arial"/>
          <w:sz w:val="20"/>
          <w:szCs w:val="20"/>
        </w:rPr>
        <w:t xml:space="preserve"> 4223 </w:t>
      </w:r>
      <w:r w:rsidR="00762B86">
        <w:rPr>
          <w:rFonts w:ascii="Titillium" w:hAnsi="Titillium" w:cs="Arial"/>
          <w:sz w:val="20"/>
          <w:szCs w:val="20"/>
        </w:rPr>
        <w:t xml:space="preserve">- oprema za održavanje i zaštitu je indeks u odnosu na prethodnu godinu </w:t>
      </w:r>
      <w:r w:rsidR="00D11B1C">
        <w:rPr>
          <w:rFonts w:ascii="Titillium" w:hAnsi="Titillium" w:cs="Arial"/>
          <w:sz w:val="20"/>
          <w:szCs w:val="20"/>
        </w:rPr>
        <w:t>29,4</w:t>
      </w:r>
      <w:r w:rsidR="00762B86">
        <w:rPr>
          <w:rFonts w:ascii="Titillium" w:hAnsi="Titillium" w:cs="Arial"/>
          <w:sz w:val="20"/>
          <w:szCs w:val="20"/>
        </w:rPr>
        <w:t xml:space="preserve">  jer su 2023. godine</w:t>
      </w:r>
      <w:r w:rsidR="00E97381">
        <w:rPr>
          <w:rFonts w:ascii="Titillium" w:hAnsi="Titillium" w:cs="Arial"/>
          <w:sz w:val="20"/>
          <w:szCs w:val="20"/>
        </w:rPr>
        <w:t xml:space="preserve"> u okviru Projekta </w:t>
      </w:r>
      <w:r w:rsidR="00E97381" w:rsidRPr="000522A3">
        <w:rPr>
          <w:rFonts w:ascii="Titillium" w:hAnsi="Titillium" w:cs="Arial"/>
          <w:i/>
          <w:sz w:val="20"/>
          <w:szCs w:val="20"/>
        </w:rPr>
        <w:t>Istraživačko-edukacijski centar za zdravstvenu i medicinsku ekologiju i zaštitu od zračenja</w:t>
      </w:r>
      <w:r w:rsidR="00E97381" w:rsidRPr="000522A3">
        <w:rPr>
          <w:rFonts w:ascii="Titillium" w:hAnsi="Titillium" w:cs="Arial"/>
          <w:sz w:val="20"/>
          <w:szCs w:val="20"/>
        </w:rPr>
        <w:t xml:space="preserve"> – </w:t>
      </w:r>
      <w:r w:rsidR="00E97381" w:rsidRPr="000522A3">
        <w:rPr>
          <w:rFonts w:ascii="Titillium" w:hAnsi="Titillium" w:cs="Arial"/>
          <w:i/>
          <w:sz w:val="20"/>
          <w:szCs w:val="20"/>
        </w:rPr>
        <w:t>Rekonstrukcija i dogradnja Instituta za medicinska istraživanja i medicinu rada u Zagrebu</w:t>
      </w:r>
      <w:r w:rsidR="00E97381">
        <w:rPr>
          <w:rFonts w:ascii="Titillium" w:hAnsi="Titillium" w:cs="Arial"/>
          <w:i/>
          <w:sz w:val="20"/>
          <w:szCs w:val="20"/>
        </w:rPr>
        <w:t xml:space="preserve"> </w:t>
      </w:r>
      <w:r w:rsidR="00762B86" w:rsidRPr="00762B86">
        <w:rPr>
          <w:rFonts w:ascii="Titillium" w:hAnsi="Titillium" w:cs="Arial"/>
          <w:sz w:val="20"/>
          <w:szCs w:val="20"/>
        </w:rPr>
        <w:t>nabavljeni</w:t>
      </w:r>
      <w:r w:rsidR="00E97381" w:rsidRPr="00762B86">
        <w:rPr>
          <w:rFonts w:ascii="Titillium" w:hAnsi="Titillium" w:cs="Arial"/>
          <w:sz w:val="20"/>
          <w:szCs w:val="20"/>
        </w:rPr>
        <w:t xml:space="preserve"> </w:t>
      </w:r>
      <w:r w:rsidR="00E97381">
        <w:rPr>
          <w:rFonts w:ascii="Titillium" w:hAnsi="Titillium" w:cs="Arial"/>
          <w:sz w:val="20"/>
          <w:szCs w:val="20"/>
        </w:rPr>
        <w:t>digestori u dijelu zgrade koji je bio u rekonstrukciji.</w:t>
      </w:r>
    </w:p>
    <w:p w:rsidR="00192333" w:rsidRDefault="00E972F9" w:rsidP="00192333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>Na račun</w:t>
      </w:r>
      <w:r w:rsidR="00D11B1C">
        <w:rPr>
          <w:rFonts w:ascii="Titillium" w:hAnsi="Titillium" w:cs="Arial"/>
          <w:sz w:val="20"/>
          <w:szCs w:val="20"/>
        </w:rPr>
        <w:t>u</w:t>
      </w:r>
      <w:r>
        <w:rPr>
          <w:rFonts w:ascii="Titillium" w:hAnsi="Titillium" w:cs="Arial"/>
          <w:sz w:val="20"/>
          <w:szCs w:val="20"/>
        </w:rPr>
        <w:t xml:space="preserve"> 4224 iznos </w:t>
      </w:r>
      <w:r w:rsidR="00D11B1C">
        <w:rPr>
          <w:rFonts w:ascii="Titillium" w:hAnsi="Titillium" w:cs="Arial"/>
          <w:sz w:val="20"/>
          <w:szCs w:val="20"/>
        </w:rPr>
        <w:t>je</w:t>
      </w:r>
      <w:r>
        <w:rPr>
          <w:rFonts w:ascii="Titillium" w:hAnsi="Titillium" w:cs="Arial"/>
          <w:sz w:val="20"/>
          <w:szCs w:val="20"/>
        </w:rPr>
        <w:t xml:space="preserve"> veći od prošlogodišnj</w:t>
      </w:r>
      <w:r w:rsidR="00D11B1C">
        <w:rPr>
          <w:rFonts w:ascii="Titillium" w:hAnsi="Titillium" w:cs="Arial"/>
          <w:sz w:val="20"/>
          <w:szCs w:val="20"/>
        </w:rPr>
        <w:t>eg</w:t>
      </w:r>
      <w:r>
        <w:rPr>
          <w:rFonts w:ascii="Titillium" w:hAnsi="Titillium" w:cs="Arial"/>
          <w:sz w:val="20"/>
          <w:szCs w:val="20"/>
        </w:rPr>
        <w:t xml:space="preserve"> </w:t>
      </w:r>
      <w:r w:rsidR="00153531">
        <w:rPr>
          <w:rFonts w:ascii="Titillium" w:hAnsi="Titillium" w:cs="Arial"/>
          <w:sz w:val="20"/>
          <w:szCs w:val="20"/>
        </w:rPr>
        <w:t xml:space="preserve">(indeks </w:t>
      </w:r>
      <w:r w:rsidR="00D11B1C">
        <w:rPr>
          <w:rFonts w:ascii="Titillium" w:hAnsi="Titillium" w:cs="Arial"/>
          <w:sz w:val="20"/>
          <w:szCs w:val="20"/>
        </w:rPr>
        <w:t>121,9</w:t>
      </w:r>
      <w:r w:rsidR="00153531">
        <w:rPr>
          <w:rFonts w:ascii="Titillium" w:hAnsi="Titillium" w:cs="Arial"/>
          <w:sz w:val="20"/>
          <w:szCs w:val="20"/>
        </w:rPr>
        <w:t xml:space="preserve">) </w:t>
      </w:r>
      <w:r>
        <w:rPr>
          <w:rFonts w:ascii="Titillium" w:hAnsi="Titillium" w:cs="Arial"/>
          <w:sz w:val="20"/>
          <w:szCs w:val="20"/>
        </w:rPr>
        <w:t xml:space="preserve">jer je tijekom 2024. godine nabavljena laboratorijska oprema </w:t>
      </w:r>
      <w:r w:rsidR="007306C5">
        <w:rPr>
          <w:rFonts w:ascii="Titillium" w:hAnsi="Titillium" w:cs="Arial"/>
          <w:sz w:val="20"/>
          <w:szCs w:val="20"/>
        </w:rPr>
        <w:t>za potrebe</w:t>
      </w:r>
      <w:r>
        <w:rPr>
          <w:rFonts w:ascii="Titillium" w:hAnsi="Titillium" w:cs="Arial"/>
          <w:sz w:val="20"/>
          <w:szCs w:val="20"/>
        </w:rPr>
        <w:t xml:space="preserve"> istraživačkih projekata koji se financiraju </w:t>
      </w:r>
      <w:r w:rsidR="007306C5">
        <w:rPr>
          <w:rFonts w:ascii="Titillium" w:hAnsi="Titillium" w:cs="Arial"/>
          <w:sz w:val="20"/>
          <w:szCs w:val="20"/>
        </w:rPr>
        <w:t xml:space="preserve">iz </w:t>
      </w:r>
      <w:r>
        <w:rPr>
          <w:rFonts w:ascii="Titillium" w:hAnsi="Titillium" w:cs="Arial"/>
          <w:sz w:val="20"/>
          <w:szCs w:val="20"/>
        </w:rPr>
        <w:t>Programsk</w:t>
      </w:r>
      <w:r w:rsidR="007306C5">
        <w:rPr>
          <w:rFonts w:ascii="Titillium" w:hAnsi="Titillium" w:cs="Arial"/>
          <w:sz w:val="20"/>
          <w:szCs w:val="20"/>
        </w:rPr>
        <w:t>og</w:t>
      </w:r>
      <w:r>
        <w:rPr>
          <w:rFonts w:ascii="Titillium" w:hAnsi="Titillium" w:cs="Arial"/>
          <w:sz w:val="20"/>
          <w:szCs w:val="20"/>
        </w:rPr>
        <w:t xml:space="preserve"> ugovor</w:t>
      </w:r>
      <w:r w:rsidR="007306C5">
        <w:rPr>
          <w:rFonts w:ascii="Titillium" w:hAnsi="Titillium" w:cs="Arial"/>
          <w:sz w:val="20"/>
          <w:szCs w:val="20"/>
        </w:rPr>
        <w:t>a</w:t>
      </w:r>
      <w:r>
        <w:rPr>
          <w:rFonts w:ascii="Titillium" w:hAnsi="Titillium" w:cs="Arial"/>
          <w:sz w:val="20"/>
          <w:szCs w:val="20"/>
        </w:rPr>
        <w:t xml:space="preserve"> zaključen</w:t>
      </w:r>
      <w:r w:rsidR="007306C5">
        <w:rPr>
          <w:rFonts w:ascii="Titillium" w:hAnsi="Titillium" w:cs="Arial"/>
          <w:sz w:val="20"/>
          <w:szCs w:val="20"/>
        </w:rPr>
        <w:t>og</w:t>
      </w:r>
      <w:r>
        <w:rPr>
          <w:rFonts w:ascii="Titillium" w:hAnsi="Titillium" w:cs="Arial"/>
          <w:sz w:val="20"/>
          <w:szCs w:val="20"/>
        </w:rPr>
        <w:t xml:space="preserve"> krajem 2023. godine</w:t>
      </w:r>
      <w:r w:rsidR="007306C5">
        <w:rPr>
          <w:rFonts w:ascii="Titillium" w:hAnsi="Titillium" w:cs="Arial"/>
          <w:sz w:val="20"/>
          <w:szCs w:val="20"/>
        </w:rPr>
        <w:t xml:space="preserve"> sa Ministarstvom znanosti i obrazovanja.</w:t>
      </w:r>
    </w:p>
    <w:p w:rsidR="00E972F9" w:rsidRDefault="00D11B1C" w:rsidP="00192333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 xml:space="preserve"> Na računu 4225 instrumenti, uređaji i strojevi </w:t>
      </w:r>
      <w:r w:rsidR="00192333">
        <w:rPr>
          <w:rFonts w:ascii="Titillium" w:hAnsi="Titillium" w:cs="Arial"/>
          <w:sz w:val="20"/>
          <w:szCs w:val="20"/>
        </w:rPr>
        <w:t>u 2023. godini je bila evidentirana donacija nefinancijske imovine - automatske monitoring stanice za aerosole u iznosu od 88.360,00 EUR. Zbog čega indeks u odnosu na prethodnu godinu iznosi 67,2.</w:t>
      </w:r>
    </w:p>
    <w:p w:rsidR="0019132D" w:rsidRPr="00360407" w:rsidRDefault="00D30225" w:rsidP="00E97381">
      <w:pPr>
        <w:spacing w:after="0"/>
        <w:jc w:val="both"/>
        <w:rPr>
          <w:rFonts w:ascii="Titillium" w:hAnsi="Titillium"/>
          <w:sz w:val="20"/>
          <w:szCs w:val="20"/>
        </w:rPr>
      </w:pPr>
      <w:r w:rsidRPr="00113F9E">
        <w:rPr>
          <w:rFonts w:ascii="Titillium" w:hAnsi="Titillium" w:cs="Arial"/>
          <w:sz w:val="20"/>
          <w:szCs w:val="20"/>
        </w:rPr>
        <w:t>R</w:t>
      </w:r>
      <w:r w:rsidR="0019132D" w:rsidRPr="00113F9E">
        <w:rPr>
          <w:rFonts w:ascii="Titillium" w:hAnsi="Titillium" w:cs="Arial"/>
          <w:sz w:val="20"/>
          <w:szCs w:val="20"/>
        </w:rPr>
        <w:t>ashodi za dodatna ulaganja na građevinskim objektima</w:t>
      </w:r>
      <w:r w:rsidR="0019132D" w:rsidRPr="00113F9E">
        <w:rPr>
          <w:rFonts w:ascii="Titillium" w:hAnsi="Titillium"/>
          <w:sz w:val="20"/>
          <w:szCs w:val="20"/>
        </w:rPr>
        <w:t xml:space="preserve"> (45) iznos</w:t>
      </w:r>
      <w:r w:rsidR="00E97381">
        <w:rPr>
          <w:rFonts w:ascii="Titillium" w:hAnsi="Titillium"/>
          <w:sz w:val="20"/>
          <w:szCs w:val="20"/>
        </w:rPr>
        <w:t xml:space="preserve">ili su u izvještajnom razdoblju </w:t>
      </w:r>
      <w:r w:rsidR="00F347B2">
        <w:rPr>
          <w:rFonts w:ascii="Titillium" w:hAnsi="Titillium"/>
          <w:sz w:val="20"/>
          <w:szCs w:val="20"/>
        </w:rPr>
        <w:t>2</w:t>
      </w:r>
      <w:r w:rsidR="007306C5">
        <w:rPr>
          <w:rFonts w:ascii="Titillium" w:hAnsi="Titillium"/>
          <w:sz w:val="20"/>
          <w:szCs w:val="20"/>
        </w:rPr>
        <w:t>.</w:t>
      </w:r>
      <w:r w:rsidR="00F347B2">
        <w:rPr>
          <w:rFonts w:ascii="Titillium" w:hAnsi="Titillium"/>
          <w:sz w:val="20"/>
          <w:szCs w:val="20"/>
        </w:rPr>
        <w:t>063</w:t>
      </w:r>
      <w:r w:rsidR="00624F9F">
        <w:rPr>
          <w:rFonts w:ascii="Titillium" w:hAnsi="Titillium"/>
          <w:sz w:val="20"/>
          <w:szCs w:val="20"/>
        </w:rPr>
        <w:t>.</w:t>
      </w:r>
      <w:r w:rsidR="00F347B2">
        <w:rPr>
          <w:rFonts w:ascii="Titillium" w:hAnsi="Titillium"/>
          <w:sz w:val="20"/>
          <w:szCs w:val="20"/>
        </w:rPr>
        <w:t>248,41</w:t>
      </w:r>
      <w:r w:rsidR="007306C5">
        <w:rPr>
          <w:rFonts w:ascii="Titillium" w:hAnsi="Titillium"/>
          <w:sz w:val="20"/>
          <w:szCs w:val="20"/>
        </w:rPr>
        <w:t xml:space="preserve"> EUR</w:t>
      </w:r>
      <w:r w:rsidR="00153531">
        <w:rPr>
          <w:rFonts w:ascii="Titillium" w:hAnsi="Titillium"/>
          <w:sz w:val="20"/>
          <w:szCs w:val="20"/>
        </w:rPr>
        <w:t xml:space="preserve"> (indeks </w:t>
      </w:r>
      <w:r w:rsidR="00F347B2">
        <w:rPr>
          <w:rFonts w:ascii="Titillium" w:hAnsi="Titillium"/>
          <w:sz w:val="20"/>
          <w:szCs w:val="20"/>
        </w:rPr>
        <w:t>140,6</w:t>
      </w:r>
      <w:r w:rsidR="00153531">
        <w:rPr>
          <w:rFonts w:ascii="Titillium" w:hAnsi="Titillium"/>
          <w:sz w:val="20"/>
          <w:szCs w:val="20"/>
        </w:rPr>
        <w:t>)</w:t>
      </w:r>
      <w:r w:rsidR="0019132D" w:rsidRPr="00113F9E">
        <w:rPr>
          <w:rFonts w:ascii="Titillium" w:hAnsi="Titillium"/>
          <w:sz w:val="20"/>
          <w:szCs w:val="20"/>
        </w:rPr>
        <w:t>.</w:t>
      </w:r>
      <w:r w:rsidRPr="00113F9E">
        <w:rPr>
          <w:rFonts w:ascii="Titillium" w:hAnsi="Titillium"/>
          <w:sz w:val="20"/>
          <w:szCs w:val="20"/>
        </w:rPr>
        <w:t xml:space="preserve"> Ovi rashodi </w:t>
      </w:r>
      <w:r w:rsidR="00885212" w:rsidRPr="00113F9E">
        <w:rPr>
          <w:rFonts w:ascii="Titillium" w:hAnsi="Titillium"/>
          <w:sz w:val="20"/>
          <w:szCs w:val="20"/>
        </w:rPr>
        <w:t xml:space="preserve">vezani su uz provedbu projekta </w:t>
      </w:r>
      <w:r w:rsidR="00360407" w:rsidRPr="00360407">
        <w:rPr>
          <w:rFonts w:ascii="Titillium" w:hAnsi="Titillium"/>
          <w:i/>
          <w:sz w:val="20"/>
          <w:szCs w:val="20"/>
        </w:rPr>
        <w:t>Konstrukcijska obnova</w:t>
      </w:r>
      <w:r w:rsidR="00360407">
        <w:rPr>
          <w:rFonts w:ascii="Titillium" w:hAnsi="Titillium" w:cs="Arial"/>
          <w:i/>
          <w:sz w:val="20"/>
          <w:szCs w:val="20"/>
        </w:rPr>
        <w:t xml:space="preserve"> sjeverne zgrade </w:t>
      </w:r>
      <w:r w:rsidR="0058141D" w:rsidRPr="00113F9E">
        <w:rPr>
          <w:rFonts w:ascii="Titillium" w:hAnsi="Titillium" w:cs="Arial"/>
          <w:i/>
          <w:sz w:val="20"/>
          <w:szCs w:val="20"/>
        </w:rPr>
        <w:t>Instituta za medicinska istraživanja i medicinu rada</w:t>
      </w:r>
      <w:r w:rsidR="00153531">
        <w:rPr>
          <w:rFonts w:ascii="Titillium" w:hAnsi="Titillium" w:cs="Arial"/>
          <w:sz w:val="20"/>
          <w:szCs w:val="20"/>
        </w:rPr>
        <w:t xml:space="preserve"> koji je započeo u svibnju 2023.</w:t>
      </w:r>
    </w:p>
    <w:p w:rsidR="0019132D" w:rsidRPr="00A16AAB" w:rsidRDefault="0019132D" w:rsidP="0019132D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A16AAB">
        <w:rPr>
          <w:rFonts w:ascii="Titillium" w:hAnsi="Titillium" w:cs="Arial"/>
          <w:sz w:val="20"/>
          <w:szCs w:val="20"/>
        </w:rPr>
        <w:t xml:space="preserve">Na kraju obračunskog razdoblja manjak prihoda od nefinancijske imovine (Y002) iznosi </w:t>
      </w:r>
      <w:r w:rsidR="00F347B2">
        <w:rPr>
          <w:rFonts w:ascii="Titillium" w:hAnsi="Titillium" w:cs="Arial"/>
          <w:sz w:val="20"/>
          <w:szCs w:val="20"/>
        </w:rPr>
        <w:t>2</w:t>
      </w:r>
      <w:r w:rsidR="00624F9F">
        <w:rPr>
          <w:rFonts w:ascii="Titillium" w:hAnsi="Titillium" w:cs="Arial"/>
          <w:sz w:val="20"/>
          <w:szCs w:val="20"/>
        </w:rPr>
        <w:t>.</w:t>
      </w:r>
      <w:r w:rsidR="00F347B2">
        <w:rPr>
          <w:rFonts w:ascii="Titillium" w:hAnsi="Titillium" w:cs="Arial"/>
          <w:sz w:val="20"/>
          <w:szCs w:val="20"/>
        </w:rPr>
        <w:t>554</w:t>
      </w:r>
      <w:r w:rsidR="00624F9F">
        <w:rPr>
          <w:rFonts w:ascii="Titillium" w:hAnsi="Titillium" w:cs="Arial"/>
          <w:sz w:val="20"/>
          <w:szCs w:val="20"/>
        </w:rPr>
        <w:t>.</w:t>
      </w:r>
      <w:r w:rsidR="00F347B2">
        <w:rPr>
          <w:rFonts w:ascii="Titillium" w:hAnsi="Titillium" w:cs="Arial"/>
          <w:sz w:val="20"/>
          <w:szCs w:val="20"/>
        </w:rPr>
        <w:t>022,09</w:t>
      </w:r>
      <w:r w:rsidR="007306C5">
        <w:rPr>
          <w:rFonts w:ascii="Titillium" w:hAnsi="Titillium" w:cs="Arial"/>
          <w:sz w:val="20"/>
          <w:szCs w:val="20"/>
        </w:rPr>
        <w:t xml:space="preserve"> EUR</w:t>
      </w:r>
      <w:r w:rsidR="00C65EEC">
        <w:rPr>
          <w:rFonts w:ascii="Titillium" w:hAnsi="Titillium" w:cs="Arial"/>
          <w:sz w:val="20"/>
          <w:szCs w:val="20"/>
        </w:rPr>
        <w:t>.</w:t>
      </w:r>
    </w:p>
    <w:p w:rsidR="00F64121" w:rsidRDefault="0019132D" w:rsidP="0019132D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C27545">
        <w:rPr>
          <w:rFonts w:ascii="Titillium" w:hAnsi="Titillium" w:cs="Arial"/>
          <w:sz w:val="20"/>
          <w:szCs w:val="20"/>
        </w:rPr>
        <w:t xml:space="preserve">Ukupni </w:t>
      </w:r>
      <w:r w:rsidR="00F347B2" w:rsidRPr="00C27545">
        <w:rPr>
          <w:rFonts w:ascii="Titillium" w:hAnsi="Titillium" w:cs="Arial"/>
          <w:sz w:val="20"/>
          <w:szCs w:val="20"/>
        </w:rPr>
        <w:t>višak</w:t>
      </w:r>
      <w:r w:rsidR="005762C1" w:rsidRPr="00C27545">
        <w:rPr>
          <w:rFonts w:ascii="Titillium" w:hAnsi="Titillium" w:cs="Arial"/>
          <w:sz w:val="20"/>
          <w:szCs w:val="20"/>
        </w:rPr>
        <w:t xml:space="preserve"> prihoda </w:t>
      </w:r>
      <w:r w:rsidRPr="00C27545">
        <w:rPr>
          <w:rFonts w:ascii="Titillium" w:hAnsi="Titillium" w:cs="Arial"/>
          <w:sz w:val="20"/>
          <w:szCs w:val="20"/>
        </w:rPr>
        <w:t>u obračunskom razdoblju (</w:t>
      </w:r>
      <w:r w:rsidR="00F347B2" w:rsidRPr="00C27545">
        <w:rPr>
          <w:rFonts w:ascii="Titillium" w:hAnsi="Titillium" w:cs="Arial"/>
          <w:sz w:val="20"/>
          <w:szCs w:val="20"/>
        </w:rPr>
        <w:t>X</w:t>
      </w:r>
      <w:r w:rsidRPr="00C27545">
        <w:rPr>
          <w:rFonts w:ascii="Titillium" w:hAnsi="Titillium" w:cs="Arial"/>
          <w:sz w:val="20"/>
          <w:szCs w:val="20"/>
        </w:rPr>
        <w:t>00</w:t>
      </w:r>
      <w:r w:rsidR="00F347B2" w:rsidRPr="00C27545">
        <w:rPr>
          <w:rFonts w:ascii="Titillium" w:hAnsi="Titillium" w:cs="Arial"/>
          <w:sz w:val="20"/>
          <w:szCs w:val="20"/>
        </w:rPr>
        <w:t>4</w:t>
      </w:r>
      <w:r w:rsidRPr="00C27545">
        <w:rPr>
          <w:rFonts w:ascii="Titillium" w:hAnsi="Titillium" w:cs="Arial"/>
          <w:sz w:val="20"/>
          <w:szCs w:val="20"/>
        </w:rPr>
        <w:t>)</w:t>
      </w:r>
      <w:r w:rsidR="00E57E26">
        <w:rPr>
          <w:rFonts w:ascii="Titillium" w:hAnsi="Titillium" w:cs="Arial"/>
          <w:sz w:val="20"/>
          <w:szCs w:val="20"/>
        </w:rPr>
        <w:t xml:space="preserve"> iznosi 1.578.898,50 EUR.</w:t>
      </w:r>
      <w:r w:rsidR="00F347B2" w:rsidRPr="00C27545">
        <w:rPr>
          <w:rFonts w:ascii="Titillium" w:hAnsi="Titillium" w:cs="Arial"/>
          <w:sz w:val="20"/>
          <w:szCs w:val="20"/>
        </w:rPr>
        <w:t>.</w:t>
      </w:r>
    </w:p>
    <w:p w:rsidR="00C27545" w:rsidRDefault="00C27545" w:rsidP="0019132D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>PRIMICI I IZDACI</w:t>
      </w:r>
    </w:p>
    <w:p w:rsidR="007A2BC9" w:rsidRDefault="00C27545" w:rsidP="0019132D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 xml:space="preserve">U izvještajnom razdoblju nije bilo evidentirano </w:t>
      </w:r>
      <w:r w:rsidR="006E2A9C">
        <w:rPr>
          <w:rFonts w:ascii="Titillium" w:hAnsi="Titillium" w:cs="Arial"/>
          <w:sz w:val="20"/>
          <w:szCs w:val="20"/>
        </w:rPr>
        <w:t>primitaka</w:t>
      </w:r>
      <w:r w:rsidR="0026259B">
        <w:rPr>
          <w:rFonts w:ascii="Titillium" w:hAnsi="Titillium" w:cs="Arial"/>
          <w:sz w:val="20"/>
          <w:szCs w:val="20"/>
        </w:rPr>
        <w:t xml:space="preserve"> (8)</w:t>
      </w:r>
      <w:r w:rsidR="006E2A9C">
        <w:rPr>
          <w:rFonts w:ascii="Titillium" w:hAnsi="Titillium" w:cs="Arial"/>
          <w:sz w:val="20"/>
          <w:szCs w:val="20"/>
        </w:rPr>
        <w:t xml:space="preserve"> </w:t>
      </w:r>
      <w:r w:rsidR="0026259B">
        <w:rPr>
          <w:rFonts w:ascii="Titillium" w:hAnsi="Titillium" w:cs="Arial"/>
          <w:sz w:val="20"/>
          <w:szCs w:val="20"/>
        </w:rPr>
        <w:t xml:space="preserve">ni izdataka (5) </w:t>
      </w:r>
      <w:r w:rsidR="006E2A9C">
        <w:rPr>
          <w:rFonts w:ascii="Titillium" w:hAnsi="Titillium" w:cs="Arial"/>
          <w:sz w:val="20"/>
          <w:szCs w:val="20"/>
        </w:rPr>
        <w:t xml:space="preserve">od </w:t>
      </w:r>
      <w:r w:rsidR="0026259B">
        <w:rPr>
          <w:rFonts w:ascii="Titillium" w:hAnsi="Titillium" w:cs="Arial"/>
          <w:sz w:val="20"/>
          <w:szCs w:val="20"/>
        </w:rPr>
        <w:t xml:space="preserve">financijske imovine. Na računu 92213 evidentiran je manjak prihoda od financijske imovine  - preneseni </w:t>
      </w:r>
      <w:r w:rsidR="00A56221">
        <w:rPr>
          <w:rFonts w:ascii="Titillium" w:hAnsi="Titillium" w:cs="Arial"/>
          <w:sz w:val="20"/>
          <w:szCs w:val="20"/>
        </w:rPr>
        <w:t>u iznosu o</w:t>
      </w:r>
      <w:r w:rsidR="007A2BC9">
        <w:rPr>
          <w:rFonts w:ascii="Titillium" w:hAnsi="Titillium" w:cs="Arial"/>
          <w:sz w:val="20"/>
          <w:szCs w:val="20"/>
        </w:rPr>
        <w:t>d</w:t>
      </w:r>
      <w:r w:rsidR="00A56221">
        <w:rPr>
          <w:rFonts w:ascii="Titillium" w:hAnsi="Titillium" w:cs="Arial"/>
          <w:sz w:val="20"/>
          <w:szCs w:val="20"/>
        </w:rPr>
        <w:t xml:space="preserve"> 5.851,75 EUR </w:t>
      </w:r>
      <w:r w:rsidR="0026259B">
        <w:rPr>
          <w:rFonts w:ascii="Titillium" w:hAnsi="Titillium" w:cs="Arial"/>
          <w:sz w:val="20"/>
          <w:szCs w:val="20"/>
        </w:rPr>
        <w:t xml:space="preserve">koji se odnosi na </w:t>
      </w:r>
      <w:r w:rsidR="007A2BC9">
        <w:rPr>
          <w:rFonts w:ascii="Titillium" w:hAnsi="Titillium" w:cs="Arial"/>
          <w:sz w:val="20"/>
          <w:szCs w:val="20"/>
        </w:rPr>
        <w:t>ispravak knjiženja iz 2023. godine (povrat jamstva).</w:t>
      </w:r>
    </w:p>
    <w:p w:rsidR="000F02E9" w:rsidRDefault="003E6C10" w:rsidP="0019132D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lastRenderedPageBreak/>
        <w:t xml:space="preserve">Na računu 9221-9222 je u 2024. godini iskazano 2,00 EUR manje </w:t>
      </w:r>
      <w:r w:rsidR="00AD66BA">
        <w:rPr>
          <w:rFonts w:ascii="Titillium" w:hAnsi="Titillium" w:cs="Arial"/>
          <w:sz w:val="20"/>
          <w:szCs w:val="20"/>
        </w:rPr>
        <w:t xml:space="preserve">od iskazanog </w:t>
      </w:r>
      <w:r>
        <w:rPr>
          <w:rFonts w:ascii="Titillium" w:hAnsi="Titillium" w:cs="Arial"/>
          <w:sz w:val="20"/>
          <w:szCs w:val="20"/>
        </w:rPr>
        <w:t>na X006 iz pr</w:t>
      </w:r>
      <w:r w:rsidR="00FD5F02">
        <w:rPr>
          <w:rFonts w:ascii="Titillium" w:hAnsi="Titillium" w:cs="Arial"/>
          <w:sz w:val="20"/>
          <w:szCs w:val="20"/>
        </w:rPr>
        <w:t>ethodne godine</w:t>
      </w:r>
      <w:r>
        <w:rPr>
          <w:rFonts w:ascii="Titillium" w:hAnsi="Titillium" w:cs="Arial"/>
          <w:sz w:val="20"/>
          <w:szCs w:val="20"/>
        </w:rPr>
        <w:t xml:space="preserve">. Razlog je ispravak početnog stanja sa 01.01.2024. jer je kod ulazne fakture br. 2008 </w:t>
      </w:r>
      <w:r w:rsidR="00FD5F02">
        <w:rPr>
          <w:rFonts w:ascii="Titillium" w:hAnsi="Titillium" w:cs="Arial"/>
          <w:sz w:val="20"/>
          <w:szCs w:val="20"/>
        </w:rPr>
        <w:t xml:space="preserve">iz 2023. godine </w:t>
      </w:r>
      <w:r>
        <w:rPr>
          <w:rFonts w:ascii="Titillium" w:hAnsi="Titillium" w:cs="Arial"/>
          <w:sz w:val="20"/>
          <w:szCs w:val="20"/>
        </w:rPr>
        <w:t>ostala otvorena stavka u navedenom iznosu, što nije bilo evidentirano.</w:t>
      </w:r>
    </w:p>
    <w:p w:rsidR="00C27545" w:rsidRPr="00C27545" w:rsidRDefault="00E57E26" w:rsidP="0019132D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 xml:space="preserve">Višak prihoda i primitaka u obračunskom razdoblju (X005) iznosi 1.578.898,50 EUR, a sa prenesenim viškom prihoda iznos prihoda i primitaka raspoloživ u sljedećem razdoblju (X006) iznosi 3.169.791,89 EUR. </w:t>
      </w:r>
      <w:r w:rsidR="0026259B">
        <w:rPr>
          <w:rFonts w:ascii="Titillium" w:hAnsi="Titillium" w:cs="Arial"/>
          <w:sz w:val="20"/>
          <w:szCs w:val="20"/>
        </w:rPr>
        <w:t xml:space="preserve"> </w:t>
      </w:r>
    </w:p>
    <w:p w:rsidR="00FA5D8F" w:rsidRDefault="00FA5D8F" w:rsidP="004D1182">
      <w:pPr>
        <w:spacing w:after="0"/>
        <w:jc w:val="center"/>
        <w:rPr>
          <w:rFonts w:ascii="Titillium" w:hAnsi="Titillium" w:cs="Arial"/>
          <w:b/>
          <w:sz w:val="20"/>
          <w:szCs w:val="20"/>
        </w:rPr>
      </w:pPr>
    </w:p>
    <w:p w:rsidR="00855987" w:rsidRDefault="00855987" w:rsidP="004D1182">
      <w:pPr>
        <w:spacing w:after="0"/>
        <w:jc w:val="center"/>
        <w:rPr>
          <w:rFonts w:ascii="Titillium" w:hAnsi="Titillium" w:cs="Arial"/>
          <w:b/>
          <w:sz w:val="20"/>
          <w:szCs w:val="20"/>
        </w:rPr>
      </w:pPr>
    </w:p>
    <w:p w:rsidR="00855987" w:rsidRPr="008D6A2C" w:rsidRDefault="00855987" w:rsidP="00855987">
      <w:pPr>
        <w:spacing w:after="0"/>
        <w:ind w:left="360"/>
        <w:jc w:val="center"/>
        <w:rPr>
          <w:rFonts w:ascii="Titillium" w:hAnsi="Titillium" w:cs="Arial"/>
          <w:b/>
          <w:sz w:val="20"/>
          <w:szCs w:val="20"/>
        </w:rPr>
      </w:pPr>
      <w:r w:rsidRPr="008D6A2C">
        <w:rPr>
          <w:rFonts w:ascii="Titillium" w:hAnsi="Titillium" w:cs="Arial"/>
          <w:b/>
          <w:sz w:val="20"/>
          <w:szCs w:val="20"/>
        </w:rPr>
        <w:t>BILANCA (Obrazac BIL)</w:t>
      </w:r>
    </w:p>
    <w:p w:rsidR="00855987" w:rsidRPr="008D6A2C" w:rsidRDefault="00855987" w:rsidP="00855987">
      <w:pPr>
        <w:spacing w:after="0"/>
        <w:rPr>
          <w:rFonts w:ascii="Titillium" w:hAnsi="Titillium" w:cs="Arial"/>
          <w:sz w:val="20"/>
          <w:szCs w:val="20"/>
        </w:rPr>
      </w:pPr>
    </w:p>
    <w:p w:rsidR="00855987" w:rsidRPr="008D6A2C" w:rsidRDefault="00855987" w:rsidP="00855987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8D6A2C">
        <w:rPr>
          <w:rFonts w:ascii="Titillium" w:hAnsi="Titillium" w:cs="Arial"/>
          <w:b/>
          <w:sz w:val="20"/>
          <w:szCs w:val="20"/>
        </w:rPr>
        <w:t>Ukupna imovina</w:t>
      </w:r>
      <w:r w:rsidRPr="008D6A2C">
        <w:rPr>
          <w:rFonts w:ascii="Titillium" w:hAnsi="Titillium" w:cs="Arial"/>
          <w:sz w:val="20"/>
          <w:szCs w:val="20"/>
        </w:rPr>
        <w:t xml:space="preserve"> iskazana u bilanci (</w:t>
      </w:r>
      <w:r>
        <w:rPr>
          <w:rFonts w:ascii="Titillium" w:hAnsi="Titillium" w:cs="Arial"/>
          <w:sz w:val="20"/>
          <w:szCs w:val="20"/>
        </w:rPr>
        <w:t>B</w:t>
      </w:r>
      <w:r w:rsidRPr="008D6A2C">
        <w:rPr>
          <w:rFonts w:ascii="Titillium" w:hAnsi="Titillium" w:cs="Arial"/>
          <w:sz w:val="20"/>
          <w:szCs w:val="20"/>
        </w:rPr>
        <w:t xml:space="preserve">001) iznosi </w:t>
      </w:r>
      <w:r>
        <w:rPr>
          <w:rFonts w:ascii="Titillium" w:hAnsi="Titillium" w:cs="Arial"/>
          <w:sz w:val="20"/>
          <w:szCs w:val="20"/>
        </w:rPr>
        <w:t>3</w:t>
      </w:r>
      <w:r w:rsidR="002E3C80">
        <w:rPr>
          <w:rFonts w:ascii="Titillium" w:hAnsi="Titillium" w:cs="Arial"/>
          <w:sz w:val="20"/>
          <w:szCs w:val="20"/>
        </w:rPr>
        <w:t>5</w:t>
      </w:r>
      <w:r w:rsidRPr="008D6A2C">
        <w:rPr>
          <w:rFonts w:ascii="Titillium" w:hAnsi="Titillium" w:cs="Arial"/>
          <w:sz w:val="20"/>
          <w:szCs w:val="20"/>
        </w:rPr>
        <w:t>.</w:t>
      </w:r>
      <w:r w:rsidR="002E3C80">
        <w:rPr>
          <w:rFonts w:ascii="Titillium" w:hAnsi="Titillium" w:cs="Arial"/>
          <w:sz w:val="20"/>
          <w:szCs w:val="20"/>
        </w:rPr>
        <w:t xml:space="preserve">465.536,50 </w:t>
      </w:r>
      <w:r>
        <w:rPr>
          <w:rFonts w:ascii="Titillium" w:hAnsi="Titillium" w:cs="Arial"/>
          <w:sz w:val="20"/>
          <w:szCs w:val="20"/>
        </w:rPr>
        <w:t>EUR</w:t>
      </w:r>
      <w:r w:rsidRPr="008D6A2C">
        <w:rPr>
          <w:rFonts w:ascii="Titillium" w:hAnsi="Titillium" w:cs="Arial"/>
          <w:sz w:val="20"/>
          <w:szCs w:val="20"/>
        </w:rPr>
        <w:t>, što odgovara iskazanim obvezama i vlastitim izvorima (</w:t>
      </w:r>
      <w:r>
        <w:rPr>
          <w:rFonts w:ascii="Titillium" w:hAnsi="Titillium" w:cs="Arial"/>
          <w:sz w:val="20"/>
          <w:szCs w:val="20"/>
        </w:rPr>
        <w:t>B003</w:t>
      </w:r>
      <w:r w:rsidRPr="008D6A2C">
        <w:rPr>
          <w:rFonts w:ascii="Titillium" w:hAnsi="Titillium" w:cs="Arial"/>
          <w:sz w:val="20"/>
          <w:szCs w:val="20"/>
        </w:rPr>
        <w:t xml:space="preserve">). </w:t>
      </w:r>
    </w:p>
    <w:p w:rsidR="00855987" w:rsidRPr="008D6A2C" w:rsidRDefault="00855987" w:rsidP="00855987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8D6A2C">
        <w:rPr>
          <w:rFonts w:ascii="Titillium" w:hAnsi="Titillium" w:cs="Arial"/>
          <w:b/>
          <w:sz w:val="20"/>
          <w:szCs w:val="20"/>
        </w:rPr>
        <w:t>Nefinancijska imovina</w:t>
      </w:r>
      <w:r w:rsidRPr="008D6A2C">
        <w:rPr>
          <w:rFonts w:ascii="Titillium" w:hAnsi="Titillium" w:cs="Arial"/>
          <w:sz w:val="20"/>
          <w:szCs w:val="20"/>
        </w:rPr>
        <w:t xml:space="preserve"> Instituta na dan 31.12.202</w:t>
      </w:r>
      <w:r w:rsidR="002E3C80">
        <w:rPr>
          <w:rFonts w:ascii="Titillium" w:hAnsi="Titillium" w:cs="Arial"/>
          <w:sz w:val="20"/>
          <w:szCs w:val="20"/>
        </w:rPr>
        <w:t>4</w:t>
      </w:r>
      <w:r w:rsidRPr="008D6A2C">
        <w:rPr>
          <w:rFonts w:ascii="Titillium" w:hAnsi="Titillium" w:cs="Arial"/>
          <w:sz w:val="20"/>
          <w:szCs w:val="20"/>
        </w:rPr>
        <w:t xml:space="preserve">. iznosi </w:t>
      </w:r>
      <w:r>
        <w:rPr>
          <w:rFonts w:ascii="Titillium" w:hAnsi="Titillium" w:cs="Arial"/>
          <w:sz w:val="20"/>
          <w:szCs w:val="20"/>
        </w:rPr>
        <w:t>3</w:t>
      </w:r>
      <w:r w:rsidR="002E3C80">
        <w:rPr>
          <w:rFonts w:ascii="Titillium" w:hAnsi="Titillium" w:cs="Arial"/>
          <w:sz w:val="20"/>
          <w:szCs w:val="20"/>
        </w:rPr>
        <w:t>2</w:t>
      </w:r>
      <w:r>
        <w:rPr>
          <w:rFonts w:ascii="Titillium" w:hAnsi="Titillium" w:cs="Arial"/>
          <w:sz w:val="20"/>
          <w:szCs w:val="20"/>
        </w:rPr>
        <w:t>.</w:t>
      </w:r>
      <w:r w:rsidR="002E3C80">
        <w:rPr>
          <w:rFonts w:ascii="Titillium" w:hAnsi="Titillium" w:cs="Arial"/>
          <w:sz w:val="20"/>
          <w:szCs w:val="20"/>
        </w:rPr>
        <w:t>004</w:t>
      </w:r>
      <w:r>
        <w:rPr>
          <w:rFonts w:ascii="Titillium" w:hAnsi="Titillium" w:cs="Arial"/>
          <w:sz w:val="20"/>
          <w:szCs w:val="20"/>
        </w:rPr>
        <w:t>.</w:t>
      </w:r>
      <w:r w:rsidR="002E3C80">
        <w:rPr>
          <w:rFonts w:ascii="Titillium" w:hAnsi="Titillium" w:cs="Arial"/>
          <w:sz w:val="20"/>
          <w:szCs w:val="20"/>
        </w:rPr>
        <w:t>495</w:t>
      </w:r>
      <w:r>
        <w:rPr>
          <w:rFonts w:ascii="Titillium" w:hAnsi="Titillium" w:cs="Arial"/>
          <w:sz w:val="20"/>
          <w:szCs w:val="20"/>
        </w:rPr>
        <w:t>.</w:t>
      </w:r>
      <w:r w:rsidR="002E3C80">
        <w:rPr>
          <w:rFonts w:ascii="Titillium" w:hAnsi="Titillium" w:cs="Arial"/>
          <w:sz w:val="20"/>
          <w:szCs w:val="20"/>
        </w:rPr>
        <w:t>68</w:t>
      </w:r>
      <w:r>
        <w:rPr>
          <w:rFonts w:ascii="Titillium" w:hAnsi="Titillium" w:cs="Arial"/>
          <w:sz w:val="20"/>
          <w:szCs w:val="20"/>
        </w:rPr>
        <w:t xml:space="preserve"> EUR</w:t>
      </w:r>
      <w:r w:rsidRPr="008D6A2C">
        <w:rPr>
          <w:rFonts w:ascii="Titillium" w:hAnsi="Titillium" w:cs="Arial"/>
          <w:sz w:val="20"/>
          <w:szCs w:val="20"/>
        </w:rPr>
        <w:t xml:space="preserve"> ( 002), a sastoji se od:</w:t>
      </w:r>
    </w:p>
    <w:p w:rsidR="00855987" w:rsidRPr="008D6A2C" w:rsidRDefault="00855987" w:rsidP="00855987">
      <w:pPr>
        <w:pStyle w:val="ListParagraph"/>
        <w:numPr>
          <w:ilvl w:val="0"/>
          <w:numId w:val="6"/>
        </w:numPr>
        <w:spacing w:after="0"/>
        <w:jc w:val="both"/>
        <w:rPr>
          <w:rFonts w:ascii="Titillium" w:hAnsi="Titillium" w:cs="Arial"/>
          <w:noProof/>
          <w:sz w:val="20"/>
          <w:szCs w:val="20"/>
        </w:rPr>
      </w:pPr>
      <w:r w:rsidRPr="008D6A2C">
        <w:rPr>
          <w:rFonts w:ascii="Titillium" w:hAnsi="Titillium" w:cs="Arial"/>
          <w:noProof/>
          <w:sz w:val="20"/>
          <w:szCs w:val="20"/>
        </w:rPr>
        <w:t>neproizvedene dugotrajne imovine - zemljište (0</w:t>
      </w:r>
      <w:r>
        <w:rPr>
          <w:rFonts w:ascii="Titillium" w:hAnsi="Titillium" w:cs="Arial"/>
          <w:noProof/>
          <w:sz w:val="20"/>
          <w:szCs w:val="20"/>
        </w:rPr>
        <w:t>1</w:t>
      </w:r>
      <w:r w:rsidRPr="008D6A2C">
        <w:rPr>
          <w:rFonts w:ascii="Titillium" w:hAnsi="Titillium" w:cs="Arial"/>
          <w:noProof/>
          <w:sz w:val="20"/>
          <w:szCs w:val="20"/>
        </w:rPr>
        <w:t xml:space="preserve">) u vrijednosti </w:t>
      </w:r>
      <w:r>
        <w:rPr>
          <w:rFonts w:ascii="Titillium" w:hAnsi="Titillium" w:cs="Arial"/>
          <w:noProof/>
          <w:sz w:val="20"/>
          <w:szCs w:val="20"/>
        </w:rPr>
        <w:t>1.293.068,55 EUR</w:t>
      </w:r>
    </w:p>
    <w:p w:rsidR="00855987" w:rsidRDefault="00855987" w:rsidP="00855987">
      <w:pPr>
        <w:pStyle w:val="ListParagraph"/>
        <w:numPr>
          <w:ilvl w:val="0"/>
          <w:numId w:val="6"/>
        </w:numPr>
        <w:spacing w:after="0"/>
        <w:jc w:val="both"/>
        <w:rPr>
          <w:rFonts w:ascii="Titillium" w:hAnsi="Titillium" w:cs="Arial"/>
          <w:noProof/>
          <w:sz w:val="20"/>
          <w:szCs w:val="20"/>
        </w:rPr>
      </w:pPr>
      <w:r w:rsidRPr="008D6A2C">
        <w:rPr>
          <w:rFonts w:ascii="Titillium" w:hAnsi="Titillium" w:cs="Arial"/>
          <w:sz w:val="20"/>
          <w:szCs w:val="20"/>
        </w:rPr>
        <w:t>proizvedene dugotrajne imovine (0</w:t>
      </w:r>
      <w:r>
        <w:rPr>
          <w:rFonts w:ascii="Titillium" w:hAnsi="Titillium" w:cs="Arial"/>
          <w:sz w:val="20"/>
          <w:szCs w:val="20"/>
        </w:rPr>
        <w:t>2</w:t>
      </w:r>
      <w:r w:rsidRPr="008D6A2C">
        <w:rPr>
          <w:rFonts w:ascii="Titillium" w:hAnsi="Titillium" w:cs="Arial"/>
          <w:sz w:val="20"/>
          <w:szCs w:val="20"/>
        </w:rPr>
        <w:t xml:space="preserve">) u vrijednosti od </w:t>
      </w:r>
      <w:r>
        <w:rPr>
          <w:rFonts w:ascii="Titillium" w:hAnsi="Titillium" w:cs="Arial"/>
          <w:sz w:val="20"/>
          <w:szCs w:val="20"/>
        </w:rPr>
        <w:t>30.</w:t>
      </w:r>
      <w:r w:rsidR="00092EC6">
        <w:rPr>
          <w:rFonts w:ascii="Titillium" w:hAnsi="Titillium" w:cs="Arial"/>
          <w:sz w:val="20"/>
          <w:szCs w:val="20"/>
        </w:rPr>
        <w:t>711</w:t>
      </w:r>
      <w:r>
        <w:rPr>
          <w:rFonts w:ascii="Titillium" w:hAnsi="Titillium" w:cs="Arial"/>
          <w:sz w:val="20"/>
          <w:szCs w:val="20"/>
        </w:rPr>
        <w:t>.</w:t>
      </w:r>
      <w:r w:rsidR="00092EC6">
        <w:rPr>
          <w:rFonts w:ascii="Titillium" w:hAnsi="Titillium" w:cs="Arial"/>
          <w:sz w:val="20"/>
          <w:szCs w:val="20"/>
        </w:rPr>
        <w:t>427,13</w:t>
      </w:r>
      <w:r>
        <w:rPr>
          <w:rFonts w:ascii="Titillium" w:hAnsi="Titillium" w:cs="Arial"/>
          <w:sz w:val="20"/>
          <w:szCs w:val="20"/>
        </w:rPr>
        <w:t xml:space="preserve"> EUR</w:t>
      </w:r>
    </w:p>
    <w:p w:rsidR="00855987" w:rsidRPr="008D6A2C" w:rsidRDefault="00855987" w:rsidP="00855987">
      <w:pPr>
        <w:spacing w:after="0"/>
        <w:jc w:val="both"/>
        <w:rPr>
          <w:rFonts w:ascii="Titillium" w:hAnsi="Titillium" w:cs="Arial"/>
          <w:noProof/>
          <w:sz w:val="20"/>
          <w:szCs w:val="20"/>
        </w:rPr>
      </w:pPr>
      <w:r w:rsidRPr="008D6A2C">
        <w:rPr>
          <w:rFonts w:ascii="Titillium" w:hAnsi="Titillium" w:cs="Arial"/>
          <w:b/>
          <w:noProof/>
          <w:sz w:val="20"/>
          <w:szCs w:val="20"/>
        </w:rPr>
        <w:t>Financijska imovina</w:t>
      </w:r>
      <w:r w:rsidRPr="008D6A2C">
        <w:rPr>
          <w:rFonts w:ascii="Titillium" w:hAnsi="Titillium" w:cs="Arial"/>
          <w:noProof/>
          <w:sz w:val="20"/>
          <w:szCs w:val="20"/>
        </w:rPr>
        <w:t xml:space="preserve"> Instituta (</w:t>
      </w:r>
      <w:r>
        <w:rPr>
          <w:rFonts w:ascii="Titillium" w:hAnsi="Titillium" w:cs="Arial"/>
          <w:noProof/>
          <w:sz w:val="20"/>
          <w:szCs w:val="20"/>
        </w:rPr>
        <w:t>1</w:t>
      </w:r>
      <w:r w:rsidRPr="008D6A2C">
        <w:rPr>
          <w:rFonts w:ascii="Titillium" w:hAnsi="Titillium" w:cs="Arial"/>
          <w:noProof/>
          <w:sz w:val="20"/>
          <w:szCs w:val="20"/>
        </w:rPr>
        <w:t xml:space="preserve">) iznosi </w:t>
      </w:r>
      <w:r w:rsidR="00092EC6">
        <w:rPr>
          <w:rFonts w:ascii="Titillium" w:hAnsi="Titillium" w:cs="Arial"/>
          <w:noProof/>
          <w:sz w:val="20"/>
          <w:szCs w:val="20"/>
        </w:rPr>
        <w:t>3</w:t>
      </w:r>
      <w:r>
        <w:rPr>
          <w:rFonts w:ascii="Titillium" w:hAnsi="Titillium" w:cs="Arial"/>
          <w:noProof/>
          <w:sz w:val="20"/>
          <w:szCs w:val="20"/>
        </w:rPr>
        <w:t>.</w:t>
      </w:r>
      <w:r w:rsidR="00092EC6">
        <w:rPr>
          <w:rFonts w:ascii="Titillium" w:hAnsi="Titillium" w:cs="Arial"/>
          <w:noProof/>
          <w:sz w:val="20"/>
          <w:szCs w:val="20"/>
        </w:rPr>
        <w:t>461</w:t>
      </w:r>
      <w:r>
        <w:rPr>
          <w:rFonts w:ascii="Titillium" w:hAnsi="Titillium" w:cs="Arial"/>
          <w:noProof/>
          <w:sz w:val="20"/>
          <w:szCs w:val="20"/>
        </w:rPr>
        <w:t>.</w:t>
      </w:r>
      <w:r w:rsidR="00092EC6">
        <w:rPr>
          <w:rFonts w:ascii="Titillium" w:hAnsi="Titillium" w:cs="Arial"/>
          <w:noProof/>
          <w:sz w:val="20"/>
          <w:szCs w:val="20"/>
        </w:rPr>
        <w:t>040,82</w:t>
      </w:r>
      <w:r>
        <w:rPr>
          <w:rFonts w:ascii="Titillium" w:hAnsi="Titillium" w:cs="Arial"/>
          <w:noProof/>
          <w:sz w:val="20"/>
          <w:szCs w:val="20"/>
        </w:rPr>
        <w:t xml:space="preserve"> EUR</w:t>
      </w:r>
      <w:r w:rsidRPr="008D6A2C">
        <w:rPr>
          <w:rFonts w:ascii="Titillium" w:hAnsi="Titillium" w:cs="Arial"/>
          <w:noProof/>
          <w:sz w:val="20"/>
          <w:szCs w:val="20"/>
        </w:rPr>
        <w:t>, a sastoji se od:</w:t>
      </w:r>
    </w:p>
    <w:p w:rsidR="00855987" w:rsidRPr="008D6A2C" w:rsidRDefault="00855987" w:rsidP="00855987">
      <w:pPr>
        <w:pStyle w:val="ListParagraph"/>
        <w:numPr>
          <w:ilvl w:val="0"/>
          <w:numId w:val="7"/>
        </w:numPr>
        <w:spacing w:after="0"/>
        <w:jc w:val="both"/>
        <w:rPr>
          <w:rFonts w:ascii="Titillium" w:hAnsi="Titillium" w:cs="Arial"/>
          <w:sz w:val="20"/>
          <w:szCs w:val="20"/>
        </w:rPr>
      </w:pPr>
      <w:r w:rsidRPr="008D6A2C">
        <w:rPr>
          <w:rFonts w:ascii="Titillium" w:hAnsi="Titillium" w:cs="Arial"/>
          <w:noProof/>
          <w:sz w:val="20"/>
          <w:szCs w:val="20"/>
        </w:rPr>
        <w:t xml:space="preserve">Novca </w:t>
      </w:r>
      <w:r>
        <w:rPr>
          <w:rFonts w:ascii="Titillium" w:hAnsi="Titillium" w:cs="Arial"/>
          <w:noProof/>
          <w:sz w:val="20"/>
          <w:szCs w:val="20"/>
        </w:rPr>
        <w:t>u banci i blagajni</w:t>
      </w:r>
      <w:r w:rsidRPr="008D6A2C">
        <w:rPr>
          <w:rFonts w:ascii="Titillium" w:hAnsi="Titillium" w:cs="Arial"/>
          <w:noProof/>
          <w:sz w:val="20"/>
          <w:szCs w:val="20"/>
        </w:rPr>
        <w:t xml:space="preserve"> (</w:t>
      </w:r>
      <w:r>
        <w:rPr>
          <w:rFonts w:ascii="Titillium" w:hAnsi="Titillium" w:cs="Arial"/>
          <w:noProof/>
          <w:sz w:val="20"/>
          <w:szCs w:val="20"/>
        </w:rPr>
        <w:t>11</w:t>
      </w:r>
      <w:r w:rsidRPr="008D6A2C">
        <w:rPr>
          <w:rFonts w:ascii="Titillium" w:hAnsi="Titillium" w:cs="Arial"/>
          <w:noProof/>
          <w:sz w:val="20"/>
          <w:szCs w:val="20"/>
        </w:rPr>
        <w:t xml:space="preserve">) u iznosu od </w:t>
      </w:r>
      <w:r w:rsidR="00092EC6">
        <w:rPr>
          <w:rFonts w:ascii="Titillium" w:hAnsi="Titillium" w:cs="Arial"/>
          <w:noProof/>
          <w:sz w:val="20"/>
          <w:szCs w:val="20"/>
        </w:rPr>
        <w:t>2</w:t>
      </w:r>
      <w:r>
        <w:rPr>
          <w:rFonts w:ascii="Titillium" w:hAnsi="Titillium" w:cs="Arial"/>
          <w:noProof/>
          <w:sz w:val="20"/>
          <w:szCs w:val="20"/>
        </w:rPr>
        <w:t>.</w:t>
      </w:r>
      <w:r w:rsidR="00092EC6">
        <w:rPr>
          <w:rFonts w:ascii="Titillium" w:hAnsi="Titillium" w:cs="Arial"/>
          <w:noProof/>
          <w:sz w:val="20"/>
          <w:szCs w:val="20"/>
        </w:rPr>
        <w:t>884</w:t>
      </w:r>
      <w:r>
        <w:rPr>
          <w:rFonts w:ascii="Titillium" w:hAnsi="Titillium" w:cs="Arial"/>
          <w:noProof/>
          <w:sz w:val="20"/>
          <w:szCs w:val="20"/>
        </w:rPr>
        <w:t>.</w:t>
      </w:r>
      <w:r w:rsidR="00092EC6">
        <w:rPr>
          <w:rFonts w:ascii="Titillium" w:hAnsi="Titillium" w:cs="Arial"/>
          <w:noProof/>
          <w:sz w:val="20"/>
          <w:szCs w:val="20"/>
        </w:rPr>
        <w:t>137,61</w:t>
      </w:r>
      <w:r>
        <w:rPr>
          <w:rFonts w:ascii="Titillium" w:hAnsi="Titillium" w:cs="Arial"/>
          <w:noProof/>
          <w:sz w:val="20"/>
          <w:szCs w:val="20"/>
        </w:rPr>
        <w:t xml:space="preserve"> EUR</w:t>
      </w:r>
    </w:p>
    <w:p w:rsidR="00855987" w:rsidRPr="008D6A2C" w:rsidRDefault="00855987" w:rsidP="0085598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tillium" w:hAnsi="Titillium" w:cs="Arial"/>
          <w:sz w:val="20"/>
          <w:szCs w:val="20"/>
        </w:rPr>
      </w:pPr>
      <w:r w:rsidRPr="008D6A2C">
        <w:rPr>
          <w:rFonts w:ascii="Titillium" w:hAnsi="Titillium" w:cs="Arial"/>
          <w:sz w:val="20"/>
          <w:szCs w:val="20"/>
        </w:rPr>
        <w:t xml:space="preserve">Depozita, </w:t>
      </w:r>
      <w:proofErr w:type="spellStart"/>
      <w:r w:rsidRPr="008D6A2C">
        <w:rPr>
          <w:rFonts w:ascii="Titillium" w:hAnsi="Titillium" w:cs="Arial"/>
          <w:sz w:val="20"/>
          <w:szCs w:val="20"/>
        </w:rPr>
        <w:t>jamčevnih</w:t>
      </w:r>
      <w:proofErr w:type="spellEnd"/>
      <w:r w:rsidRPr="008D6A2C">
        <w:rPr>
          <w:rFonts w:ascii="Titillium" w:hAnsi="Titillium" w:cs="Arial"/>
          <w:sz w:val="20"/>
          <w:szCs w:val="20"/>
        </w:rPr>
        <w:t xml:space="preserve"> pologa i potraživanja za više plaćene poreze</w:t>
      </w:r>
      <w:r>
        <w:rPr>
          <w:rFonts w:ascii="Titillium" w:hAnsi="Titillium" w:cs="Arial"/>
          <w:sz w:val="20"/>
          <w:szCs w:val="20"/>
        </w:rPr>
        <w:t>, bolovanja i predujmove</w:t>
      </w:r>
      <w:r w:rsidRPr="008D6A2C">
        <w:rPr>
          <w:rFonts w:ascii="Titillium" w:hAnsi="Titillium" w:cs="Arial"/>
          <w:sz w:val="20"/>
          <w:szCs w:val="20"/>
        </w:rPr>
        <w:t xml:space="preserve"> (</w:t>
      </w:r>
      <w:r>
        <w:rPr>
          <w:rFonts w:ascii="Titillium" w:hAnsi="Titillium" w:cs="Arial"/>
          <w:sz w:val="20"/>
          <w:szCs w:val="20"/>
        </w:rPr>
        <w:t>12</w:t>
      </w:r>
      <w:r w:rsidRPr="008D6A2C">
        <w:rPr>
          <w:rFonts w:ascii="Titillium" w:hAnsi="Titillium" w:cs="Arial"/>
          <w:sz w:val="20"/>
          <w:szCs w:val="20"/>
        </w:rPr>
        <w:t xml:space="preserve">) u iznosu od </w:t>
      </w:r>
      <w:r>
        <w:rPr>
          <w:rFonts w:ascii="Titillium" w:hAnsi="Titillium" w:cs="Arial"/>
          <w:sz w:val="20"/>
          <w:szCs w:val="20"/>
        </w:rPr>
        <w:t>1</w:t>
      </w:r>
      <w:r w:rsidR="00092EC6">
        <w:rPr>
          <w:rFonts w:ascii="Titillium" w:hAnsi="Titillium" w:cs="Arial"/>
          <w:sz w:val="20"/>
          <w:szCs w:val="20"/>
        </w:rPr>
        <w:t>15</w:t>
      </w:r>
      <w:r>
        <w:rPr>
          <w:rFonts w:ascii="Titillium" w:hAnsi="Titillium" w:cs="Arial"/>
          <w:sz w:val="20"/>
          <w:szCs w:val="20"/>
        </w:rPr>
        <w:t>.</w:t>
      </w:r>
      <w:r w:rsidR="00092EC6">
        <w:rPr>
          <w:rFonts w:ascii="Titillium" w:hAnsi="Titillium" w:cs="Arial"/>
          <w:sz w:val="20"/>
          <w:szCs w:val="20"/>
        </w:rPr>
        <w:t>115,85</w:t>
      </w:r>
      <w:r>
        <w:rPr>
          <w:rFonts w:ascii="Titillium" w:hAnsi="Titillium" w:cs="Arial"/>
          <w:sz w:val="20"/>
          <w:szCs w:val="20"/>
        </w:rPr>
        <w:t xml:space="preserve"> EUR</w:t>
      </w:r>
      <w:r w:rsidRPr="008D6A2C">
        <w:rPr>
          <w:rFonts w:ascii="Titillium" w:hAnsi="Titillium" w:cs="Arial"/>
          <w:sz w:val="20"/>
          <w:szCs w:val="20"/>
        </w:rPr>
        <w:t xml:space="preserve">. Na ovoj grupi računa </w:t>
      </w:r>
      <w:r>
        <w:rPr>
          <w:rFonts w:ascii="Titillium" w:hAnsi="Titillium" w:cs="Arial"/>
          <w:sz w:val="20"/>
          <w:szCs w:val="20"/>
        </w:rPr>
        <w:t xml:space="preserve">(121) </w:t>
      </w:r>
      <w:r w:rsidRPr="008D6A2C">
        <w:rPr>
          <w:rFonts w:ascii="Titillium" w:hAnsi="Titillium" w:cs="Arial"/>
          <w:sz w:val="20"/>
          <w:szCs w:val="20"/>
        </w:rPr>
        <w:t xml:space="preserve">iskazana su potraživanja za depozit kod Komercijalne banke </w:t>
      </w:r>
      <w:r>
        <w:rPr>
          <w:rFonts w:ascii="Titillium" w:hAnsi="Titillium" w:cs="Arial"/>
          <w:sz w:val="20"/>
          <w:szCs w:val="20"/>
        </w:rPr>
        <w:t>sa</w:t>
      </w:r>
      <w:r w:rsidRPr="008D6A2C">
        <w:rPr>
          <w:rFonts w:ascii="Titillium" w:hAnsi="Titillium" w:cs="Arial"/>
          <w:sz w:val="20"/>
          <w:szCs w:val="20"/>
        </w:rPr>
        <w:t xml:space="preserve"> pripadajućim kamatama u iznosu od </w:t>
      </w:r>
      <w:r>
        <w:rPr>
          <w:rFonts w:ascii="Titillium" w:hAnsi="Titillium" w:cs="Arial"/>
          <w:sz w:val="20"/>
          <w:szCs w:val="20"/>
        </w:rPr>
        <w:t>109.846,94 EUR</w:t>
      </w:r>
      <w:r w:rsidRPr="008D6A2C">
        <w:rPr>
          <w:rFonts w:ascii="Titillium" w:hAnsi="Titillium" w:cs="Arial"/>
          <w:sz w:val="20"/>
          <w:szCs w:val="20"/>
        </w:rPr>
        <w:t xml:space="preserve">. Zbog blokade računa Komercijalne banke, žiro račun je zatvoren, a sredstva su oročena po Ugovoru broj: 83260-1-99. Nad Komercijalnom bankom otvoren je stečajni postupak koji još nije okončan. </w:t>
      </w:r>
      <w:r w:rsidR="003D060A">
        <w:rPr>
          <w:rFonts w:ascii="Titillium" w:hAnsi="Titillium" w:cs="Arial"/>
          <w:sz w:val="20"/>
          <w:szCs w:val="20"/>
        </w:rPr>
        <w:t>P</w:t>
      </w:r>
      <w:r w:rsidRPr="008D6A2C">
        <w:rPr>
          <w:rFonts w:ascii="Titillium" w:hAnsi="Titillium" w:cs="Arial"/>
          <w:sz w:val="20"/>
          <w:szCs w:val="20"/>
        </w:rPr>
        <w:t xml:space="preserve">otraživanja </w:t>
      </w:r>
      <w:r w:rsidR="00296DB4">
        <w:rPr>
          <w:rFonts w:ascii="Titillium" w:hAnsi="Titillium" w:cs="Arial"/>
          <w:sz w:val="20"/>
          <w:szCs w:val="20"/>
        </w:rPr>
        <w:t>od zaposlenih, potraživanja za</w:t>
      </w:r>
      <w:r w:rsidRPr="008D6A2C">
        <w:rPr>
          <w:rFonts w:ascii="Titillium" w:hAnsi="Titillium" w:cs="Arial"/>
          <w:sz w:val="20"/>
          <w:szCs w:val="20"/>
        </w:rPr>
        <w:t xml:space="preserve"> više plaćene poreze i doprinose</w:t>
      </w:r>
      <w:r w:rsidR="00296DB4">
        <w:rPr>
          <w:rFonts w:ascii="Titillium" w:hAnsi="Titillium" w:cs="Arial"/>
          <w:sz w:val="20"/>
          <w:szCs w:val="20"/>
        </w:rPr>
        <w:t xml:space="preserve"> i</w:t>
      </w:r>
      <w:r w:rsidRPr="008D6A2C">
        <w:rPr>
          <w:rFonts w:ascii="Titillium" w:hAnsi="Titillium" w:cs="Arial"/>
          <w:sz w:val="20"/>
          <w:szCs w:val="20"/>
        </w:rPr>
        <w:t xml:space="preserve"> potraživanja od HZZO-a za naknade bolovanja evidentirani su na </w:t>
      </w:r>
      <w:r>
        <w:rPr>
          <w:rFonts w:ascii="Titillium" w:hAnsi="Titillium" w:cs="Arial"/>
          <w:sz w:val="20"/>
          <w:szCs w:val="20"/>
        </w:rPr>
        <w:t>računima 12</w:t>
      </w:r>
      <w:r w:rsidR="007A240D">
        <w:rPr>
          <w:rFonts w:ascii="Titillium" w:hAnsi="Titillium" w:cs="Arial"/>
          <w:sz w:val="20"/>
          <w:szCs w:val="20"/>
        </w:rPr>
        <w:t>3-</w:t>
      </w:r>
      <w:r>
        <w:rPr>
          <w:rFonts w:ascii="Titillium" w:hAnsi="Titillium" w:cs="Arial"/>
          <w:sz w:val="20"/>
          <w:szCs w:val="20"/>
        </w:rPr>
        <w:t>129</w:t>
      </w:r>
      <w:r w:rsidRPr="008D6A2C">
        <w:rPr>
          <w:rFonts w:ascii="Titillium" w:hAnsi="Titillium" w:cs="Arial"/>
          <w:sz w:val="20"/>
          <w:szCs w:val="20"/>
        </w:rPr>
        <w:t xml:space="preserve"> u ukupnom iznosu </w:t>
      </w:r>
      <w:r w:rsidR="003D060A">
        <w:rPr>
          <w:rFonts w:ascii="Titillium" w:hAnsi="Titillium" w:cs="Arial"/>
          <w:sz w:val="20"/>
          <w:szCs w:val="20"/>
        </w:rPr>
        <w:t>5.268,91</w:t>
      </w:r>
      <w:r>
        <w:rPr>
          <w:rFonts w:ascii="Titillium" w:hAnsi="Titillium" w:cs="Arial"/>
          <w:sz w:val="20"/>
          <w:szCs w:val="20"/>
        </w:rPr>
        <w:t xml:space="preserve"> EUR.</w:t>
      </w:r>
    </w:p>
    <w:p w:rsidR="00855987" w:rsidRPr="00AF535A" w:rsidRDefault="00855987" w:rsidP="00855987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tillium" w:hAnsi="Titillium" w:cs="Arial"/>
          <w:sz w:val="20"/>
          <w:szCs w:val="20"/>
        </w:rPr>
      </w:pPr>
      <w:r w:rsidRPr="007E72DA">
        <w:rPr>
          <w:rFonts w:ascii="Titillium" w:hAnsi="Titillium" w:cs="Arial"/>
          <w:sz w:val="20"/>
          <w:szCs w:val="20"/>
        </w:rPr>
        <w:t xml:space="preserve">Dionica i udjela u glavnici (15) u ukupnom iznosu od </w:t>
      </w:r>
      <w:r w:rsidR="003D060A">
        <w:rPr>
          <w:rFonts w:ascii="Titillium" w:hAnsi="Titillium" w:cs="Arial"/>
          <w:sz w:val="20"/>
          <w:szCs w:val="20"/>
        </w:rPr>
        <w:t>134.391,62</w:t>
      </w:r>
      <w:r>
        <w:rPr>
          <w:rFonts w:ascii="Titillium" w:hAnsi="Titillium" w:cs="Arial"/>
          <w:sz w:val="20"/>
          <w:szCs w:val="20"/>
        </w:rPr>
        <w:t xml:space="preserve"> EUR</w:t>
      </w:r>
      <w:r w:rsidRPr="007E72DA">
        <w:rPr>
          <w:rFonts w:ascii="Titillium" w:hAnsi="Titillium" w:cs="Arial"/>
          <w:sz w:val="20"/>
          <w:szCs w:val="20"/>
        </w:rPr>
        <w:t xml:space="preserve">. Iznos evidentiran na skupini računa 15 odnosi se na uplaćeni temeljni kapital za osnivanje trgovačkog društva </w:t>
      </w:r>
      <w:r w:rsidRPr="007E72DA">
        <w:rPr>
          <w:rFonts w:ascii="Titillium" w:hAnsi="Titillium" w:cs="Arial"/>
          <w:i/>
          <w:sz w:val="20"/>
          <w:szCs w:val="20"/>
        </w:rPr>
        <w:t>Medicina rada instituta za medicinska istraživanja i medicinu rada</w:t>
      </w:r>
      <w:r w:rsidRPr="007E72DA">
        <w:rPr>
          <w:rFonts w:ascii="Titillium" w:hAnsi="Titillium" w:cs="Arial"/>
          <w:sz w:val="20"/>
          <w:szCs w:val="20"/>
        </w:rPr>
        <w:t xml:space="preserve"> u iznosu od 2</w:t>
      </w:r>
      <w:r>
        <w:rPr>
          <w:rFonts w:ascii="Titillium" w:hAnsi="Titillium" w:cs="Arial"/>
          <w:sz w:val="20"/>
          <w:szCs w:val="20"/>
        </w:rPr>
        <w:t>.654,46 EUR</w:t>
      </w:r>
      <w:r w:rsidRPr="007E72DA">
        <w:rPr>
          <w:rFonts w:ascii="Titillium" w:hAnsi="Titillium" w:cs="Arial"/>
          <w:sz w:val="20"/>
          <w:szCs w:val="20"/>
        </w:rPr>
        <w:t xml:space="preserve"> (1521), udio u glavnici kod HTP Matija Gubec Donja Stubica u vrijednosti od </w:t>
      </w:r>
      <w:r>
        <w:rPr>
          <w:rFonts w:ascii="Titillium" w:hAnsi="Titillium" w:cs="Arial"/>
          <w:sz w:val="20"/>
          <w:szCs w:val="20"/>
        </w:rPr>
        <w:t>6.052,16</w:t>
      </w:r>
      <w:r w:rsidRPr="007E72DA">
        <w:rPr>
          <w:rFonts w:ascii="Titillium" w:hAnsi="Titillium" w:cs="Arial"/>
          <w:sz w:val="20"/>
          <w:szCs w:val="20"/>
        </w:rPr>
        <w:t xml:space="preserve"> </w:t>
      </w:r>
      <w:r>
        <w:rPr>
          <w:rFonts w:ascii="Titillium" w:hAnsi="Titillium" w:cs="Arial"/>
          <w:sz w:val="20"/>
          <w:szCs w:val="20"/>
        </w:rPr>
        <w:t>EUR</w:t>
      </w:r>
      <w:r w:rsidRPr="007E72DA">
        <w:rPr>
          <w:rFonts w:ascii="Titillium" w:hAnsi="Titillium" w:cs="Arial"/>
          <w:sz w:val="20"/>
          <w:szCs w:val="20"/>
        </w:rPr>
        <w:t xml:space="preserve"> (1541-159) koje je Institutu dodijelio Hrvatski fond za privatizaciju i ud</w:t>
      </w:r>
      <w:r>
        <w:rPr>
          <w:rFonts w:ascii="Titillium" w:hAnsi="Titillium" w:cs="Arial"/>
          <w:sz w:val="20"/>
          <w:szCs w:val="20"/>
        </w:rPr>
        <w:t>io</w:t>
      </w:r>
      <w:r w:rsidRPr="007E72DA">
        <w:rPr>
          <w:rFonts w:ascii="Titillium" w:hAnsi="Titillium" w:cs="Arial"/>
          <w:sz w:val="20"/>
          <w:szCs w:val="20"/>
        </w:rPr>
        <w:t xml:space="preserve"> u glavnici u osnivačkim fondovima Zagrebačke banke u iznosu</w:t>
      </w:r>
      <w:r>
        <w:rPr>
          <w:rFonts w:ascii="Titillium" w:hAnsi="Titillium" w:cs="Arial"/>
          <w:sz w:val="20"/>
          <w:szCs w:val="20"/>
        </w:rPr>
        <w:t xml:space="preserve"> tržišne vrijednosti</w:t>
      </w:r>
      <w:r w:rsidRPr="007E72DA">
        <w:rPr>
          <w:rFonts w:ascii="Titillium" w:hAnsi="Titillium" w:cs="Arial"/>
          <w:sz w:val="20"/>
          <w:szCs w:val="20"/>
        </w:rPr>
        <w:t xml:space="preserve"> </w:t>
      </w:r>
      <w:r w:rsidRPr="00AF535A">
        <w:rPr>
          <w:rFonts w:ascii="Titillium" w:hAnsi="Titillium" w:cs="Arial"/>
          <w:sz w:val="20"/>
          <w:szCs w:val="20"/>
        </w:rPr>
        <w:t xml:space="preserve">od </w:t>
      </w:r>
      <w:r w:rsidR="003D060A">
        <w:rPr>
          <w:rFonts w:ascii="Titillium" w:hAnsi="Titillium" w:cs="Arial"/>
          <w:sz w:val="20"/>
          <w:szCs w:val="20"/>
        </w:rPr>
        <w:t>125.685,00</w:t>
      </w:r>
      <w:r>
        <w:rPr>
          <w:rFonts w:ascii="Titillium" w:hAnsi="Titillium" w:cs="Arial"/>
          <w:sz w:val="20"/>
          <w:szCs w:val="20"/>
        </w:rPr>
        <w:t xml:space="preserve"> EUR</w:t>
      </w:r>
      <w:r w:rsidRPr="00AF535A">
        <w:rPr>
          <w:rFonts w:ascii="Titillium" w:hAnsi="Titillium" w:cs="Arial"/>
          <w:sz w:val="20"/>
          <w:szCs w:val="20"/>
        </w:rPr>
        <w:t xml:space="preserve"> (1531). </w:t>
      </w:r>
      <w:r w:rsidRPr="00AF535A">
        <w:rPr>
          <w:rFonts w:ascii="Titillium" w:hAnsi="Titillium" w:cs="Arial"/>
          <w:color w:val="000000"/>
          <w:sz w:val="20"/>
          <w:szCs w:val="20"/>
        </w:rPr>
        <w:t xml:space="preserve">Potraživanja za prihode poslovanja (166-169) iznose </w:t>
      </w:r>
      <w:r>
        <w:rPr>
          <w:rFonts w:ascii="Titillium" w:hAnsi="Titillium" w:cs="Arial"/>
          <w:color w:val="000000"/>
          <w:sz w:val="20"/>
          <w:szCs w:val="20"/>
        </w:rPr>
        <w:t>3</w:t>
      </w:r>
      <w:r w:rsidR="007A240D">
        <w:rPr>
          <w:rFonts w:ascii="Titillium" w:hAnsi="Titillium" w:cs="Arial"/>
          <w:color w:val="000000"/>
          <w:sz w:val="20"/>
          <w:szCs w:val="20"/>
        </w:rPr>
        <w:t>25</w:t>
      </w:r>
      <w:r>
        <w:rPr>
          <w:rFonts w:ascii="Titillium" w:hAnsi="Titillium" w:cs="Arial"/>
          <w:color w:val="000000"/>
          <w:sz w:val="20"/>
          <w:szCs w:val="20"/>
        </w:rPr>
        <w:t>.</w:t>
      </w:r>
      <w:r w:rsidR="007A240D">
        <w:rPr>
          <w:rFonts w:ascii="Titillium" w:hAnsi="Titillium" w:cs="Arial"/>
          <w:color w:val="000000"/>
          <w:sz w:val="20"/>
          <w:szCs w:val="20"/>
        </w:rPr>
        <w:t>478,52</w:t>
      </w:r>
      <w:r>
        <w:rPr>
          <w:rFonts w:ascii="Titillium" w:hAnsi="Titillium" w:cs="Arial"/>
          <w:color w:val="000000"/>
          <w:sz w:val="20"/>
          <w:szCs w:val="20"/>
        </w:rPr>
        <w:t xml:space="preserve"> EUR</w:t>
      </w:r>
      <w:r w:rsidRPr="00AF535A">
        <w:rPr>
          <w:rFonts w:ascii="Titillium" w:hAnsi="Titillium" w:cs="Arial"/>
          <w:color w:val="000000"/>
          <w:sz w:val="20"/>
          <w:szCs w:val="20"/>
        </w:rPr>
        <w:t xml:space="preserve"> a čine ih potraživanja od kupaca za pružene usluge.</w:t>
      </w:r>
    </w:p>
    <w:p w:rsidR="00855987" w:rsidRPr="008D6A2C" w:rsidRDefault="00855987" w:rsidP="00855987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8D6A2C">
        <w:rPr>
          <w:rFonts w:ascii="Titillium" w:hAnsi="Titillium" w:cs="Arial"/>
          <w:b/>
          <w:sz w:val="20"/>
          <w:szCs w:val="20"/>
        </w:rPr>
        <w:t>Ukupne obveze</w:t>
      </w:r>
      <w:r w:rsidRPr="008D6A2C">
        <w:rPr>
          <w:rFonts w:ascii="Titillium" w:hAnsi="Titillium" w:cs="Arial"/>
          <w:sz w:val="20"/>
          <w:szCs w:val="20"/>
        </w:rPr>
        <w:t xml:space="preserve"> (</w:t>
      </w:r>
      <w:r>
        <w:rPr>
          <w:rFonts w:ascii="Titillium" w:hAnsi="Titillium" w:cs="Arial"/>
          <w:sz w:val="20"/>
          <w:szCs w:val="20"/>
        </w:rPr>
        <w:t>2</w:t>
      </w:r>
      <w:r w:rsidRPr="008D6A2C">
        <w:rPr>
          <w:rFonts w:ascii="Titillium" w:hAnsi="Titillium" w:cs="Arial"/>
          <w:sz w:val="20"/>
          <w:szCs w:val="20"/>
        </w:rPr>
        <w:t xml:space="preserve">) na kraju proračunske godine iznose </w:t>
      </w:r>
      <w:r w:rsidR="007A240D">
        <w:rPr>
          <w:rFonts w:ascii="Titillium" w:hAnsi="Titillium" w:cs="Arial"/>
          <w:sz w:val="20"/>
          <w:szCs w:val="20"/>
        </w:rPr>
        <w:t>109</w:t>
      </w:r>
      <w:r>
        <w:rPr>
          <w:rFonts w:ascii="Titillium" w:hAnsi="Titillium" w:cs="Arial"/>
          <w:sz w:val="20"/>
          <w:szCs w:val="20"/>
        </w:rPr>
        <w:t>.</w:t>
      </w:r>
      <w:r w:rsidR="007A240D">
        <w:rPr>
          <w:rFonts w:ascii="Titillium" w:hAnsi="Titillium" w:cs="Arial"/>
          <w:sz w:val="20"/>
          <w:szCs w:val="20"/>
        </w:rPr>
        <w:t>663,87</w:t>
      </w:r>
      <w:r>
        <w:rPr>
          <w:rFonts w:ascii="Titillium" w:hAnsi="Titillium" w:cs="Arial"/>
          <w:sz w:val="20"/>
          <w:szCs w:val="20"/>
        </w:rPr>
        <w:t xml:space="preserve"> EUR</w:t>
      </w:r>
      <w:r w:rsidRPr="008D6A2C">
        <w:rPr>
          <w:rFonts w:ascii="Titillium" w:hAnsi="Titillium" w:cs="Arial"/>
          <w:sz w:val="20"/>
          <w:szCs w:val="20"/>
        </w:rPr>
        <w:t xml:space="preserve"> a odnose se na obveze za rashode poslovanja:</w:t>
      </w:r>
    </w:p>
    <w:p w:rsidR="00855987" w:rsidRPr="008D6A2C" w:rsidRDefault="00855987" w:rsidP="0085598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tillium" w:hAnsi="Titillium" w:cs="Arial"/>
          <w:sz w:val="20"/>
          <w:szCs w:val="20"/>
        </w:rPr>
      </w:pPr>
      <w:r w:rsidRPr="008D6A2C">
        <w:rPr>
          <w:rFonts w:ascii="Titillium" w:hAnsi="Titillium" w:cs="Arial"/>
          <w:sz w:val="20"/>
          <w:szCs w:val="20"/>
        </w:rPr>
        <w:t>Obveze prema dobavljačima potrošnog materijala, davateljima usluga i za financijske rashode (</w:t>
      </w:r>
      <w:r>
        <w:rPr>
          <w:rFonts w:ascii="Titillium" w:hAnsi="Titillium" w:cs="Arial"/>
          <w:sz w:val="20"/>
          <w:szCs w:val="20"/>
        </w:rPr>
        <w:t>232</w:t>
      </w:r>
      <w:r w:rsidRPr="008D6A2C">
        <w:rPr>
          <w:rFonts w:ascii="Titillium" w:hAnsi="Titillium" w:cs="Arial"/>
          <w:sz w:val="20"/>
          <w:szCs w:val="20"/>
        </w:rPr>
        <w:t xml:space="preserve"> i </w:t>
      </w:r>
      <w:r>
        <w:rPr>
          <w:rFonts w:ascii="Titillium" w:hAnsi="Titillium" w:cs="Arial"/>
          <w:sz w:val="20"/>
          <w:szCs w:val="20"/>
        </w:rPr>
        <w:t>234</w:t>
      </w:r>
      <w:r w:rsidRPr="008D6A2C">
        <w:rPr>
          <w:rFonts w:ascii="Titillium" w:hAnsi="Titillium" w:cs="Arial"/>
          <w:sz w:val="20"/>
          <w:szCs w:val="20"/>
        </w:rPr>
        <w:t xml:space="preserve">) </w:t>
      </w:r>
      <w:r w:rsidR="007A240D">
        <w:rPr>
          <w:rFonts w:ascii="Titillium" w:hAnsi="Titillium" w:cs="Arial"/>
          <w:sz w:val="20"/>
          <w:szCs w:val="20"/>
        </w:rPr>
        <w:t>31</w:t>
      </w:r>
      <w:r>
        <w:rPr>
          <w:rFonts w:ascii="Titillium" w:hAnsi="Titillium" w:cs="Arial"/>
          <w:sz w:val="20"/>
          <w:szCs w:val="20"/>
        </w:rPr>
        <w:t>.</w:t>
      </w:r>
      <w:r w:rsidR="007A240D">
        <w:rPr>
          <w:rFonts w:ascii="Titillium" w:hAnsi="Titillium" w:cs="Arial"/>
          <w:sz w:val="20"/>
          <w:szCs w:val="20"/>
        </w:rPr>
        <w:t>382,81</w:t>
      </w:r>
      <w:r>
        <w:rPr>
          <w:rFonts w:ascii="Titillium" w:hAnsi="Titillium" w:cs="Arial"/>
          <w:sz w:val="20"/>
          <w:szCs w:val="20"/>
        </w:rPr>
        <w:t xml:space="preserve"> EUR</w:t>
      </w:r>
      <w:r w:rsidRPr="008D6A2C">
        <w:rPr>
          <w:rFonts w:ascii="Titillium" w:hAnsi="Titillium" w:cs="Arial"/>
          <w:sz w:val="20"/>
          <w:szCs w:val="20"/>
        </w:rPr>
        <w:t>.</w:t>
      </w:r>
    </w:p>
    <w:p w:rsidR="00855987" w:rsidRPr="008D6A2C" w:rsidRDefault="00855987" w:rsidP="0085598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tillium" w:hAnsi="Titillium" w:cs="Arial"/>
          <w:sz w:val="20"/>
          <w:szCs w:val="20"/>
        </w:rPr>
      </w:pPr>
      <w:r w:rsidRPr="008D6A2C">
        <w:rPr>
          <w:rFonts w:ascii="Titillium" w:hAnsi="Titillium" w:cs="Arial"/>
          <w:sz w:val="20"/>
          <w:szCs w:val="20"/>
        </w:rPr>
        <w:t>Ostale tekuće obveze (</w:t>
      </w:r>
      <w:r>
        <w:rPr>
          <w:rFonts w:ascii="Titillium" w:hAnsi="Titillium" w:cs="Arial"/>
          <w:sz w:val="20"/>
          <w:szCs w:val="20"/>
        </w:rPr>
        <w:t>239</w:t>
      </w:r>
      <w:r w:rsidRPr="008D6A2C">
        <w:rPr>
          <w:rFonts w:ascii="Titillium" w:hAnsi="Titillium" w:cs="Arial"/>
          <w:sz w:val="20"/>
          <w:szCs w:val="20"/>
        </w:rPr>
        <w:t xml:space="preserve">) u ukupnom iznosu od </w:t>
      </w:r>
      <w:r w:rsidR="007A240D">
        <w:rPr>
          <w:rFonts w:ascii="Titillium" w:hAnsi="Titillium" w:cs="Arial"/>
          <w:sz w:val="20"/>
          <w:szCs w:val="20"/>
        </w:rPr>
        <w:t>78</w:t>
      </w:r>
      <w:r>
        <w:rPr>
          <w:rFonts w:ascii="Titillium" w:hAnsi="Titillium" w:cs="Arial"/>
          <w:sz w:val="20"/>
          <w:szCs w:val="20"/>
        </w:rPr>
        <w:t>.</w:t>
      </w:r>
      <w:r w:rsidR="007A240D">
        <w:rPr>
          <w:rFonts w:ascii="Titillium" w:hAnsi="Titillium" w:cs="Arial"/>
          <w:sz w:val="20"/>
          <w:szCs w:val="20"/>
        </w:rPr>
        <w:t>281,06</w:t>
      </w:r>
      <w:r>
        <w:rPr>
          <w:rFonts w:ascii="Titillium" w:hAnsi="Titillium" w:cs="Arial"/>
          <w:sz w:val="20"/>
          <w:szCs w:val="20"/>
        </w:rPr>
        <w:t xml:space="preserve"> EUR</w:t>
      </w:r>
      <w:r w:rsidRPr="008D6A2C">
        <w:rPr>
          <w:rFonts w:ascii="Titillium" w:hAnsi="Titillium" w:cs="Arial"/>
          <w:sz w:val="20"/>
          <w:szCs w:val="20"/>
        </w:rPr>
        <w:t>, koje čine obveze za PDV po obračunu, obveze za jamčevine</w:t>
      </w:r>
      <w:r w:rsidR="000521CD">
        <w:rPr>
          <w:rFonts w:ascii="Titillium" w:hAnsi="Titillium" w:cs="Arial"/>
          <w:sz w:val="20"/>
          <w:szCs w:val="20"/>
        </w:rPr>
        <w:t xml:space="preserve"> i </w:t>
      </w:r>
      <w:r w:rsidRPr="008D6A2C">
        <w:rPr>
          <w:rFonts w:ascii="Titillium" w:hAnsi="Titillium" w:cs="Arial"/>
          <w:sz w:val="20"/>
          <w:szCs w:val="20"/>
        </w:rPr>
        <w:t xml:space="preserve"> obveze za naknade bolovanja na teret HZZO</w:t>
      </w:r>
      <w:r w:rsidR="000521CD">
        <w:rPr>
          <w:rFonts w:ascii="Titillium" w:hAnsi="Titillium" w:cs="Arial"/>
          <w:sz w:val="20"/>
          <w:szCs w:val="20"/>
        </w:rPr>
        <w:t>.</w:t>
      </w:r>
    </w:p>
    <w:p w:rsidR="00855987" w:rsidRDefault="00855987" w:rsidP="00855987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8D6A2C">
        <w:rPr>
          <w:rFonts w:ascii="Titillium" w:hAnsi="Titillium" w:cs="Arial"/>
          <w:b/>
          <w:sz w:val="20"/>
          <w:szCs w:val="20"/>
        </w:rPr>
        <w:lastRenderedPageBreak/>
        <w:t>Vlastiti izvori</w:t>
      </w:r>
      <w:r w:rsidRPr="008D6A2C">
        <w:rPr>
          <w:rFonts w:ascii="Titillium" w:hAnsi="Titillium" w:cs="Arial"/>
          <w:sz w:val="20"/>
          <w:szCs w:val="20"/>
        </w:rPr>
        <w:t xml:space="preserve"> Instituta (</w:t>
      </w:r>
      <w:r>
        <w:rPr>
          <w:rFonts w:ascii="Titillium" w:hAnsi="Titillium" w:cs="Arial"/>
          <w:sz w:val="20"/>
          <w:szCs w:val="20"/>
        </w:rPr>
        <w:t>9</w:t>
      </w:r>
      <w:r w:rsidRPr="008D6A2C">
        <w:rPr>
          <w:rFonts w:ascii="Titillium" w:hAnsi="Titillium" w:cs="Arial"/>
          <w:sz w:val="20"/>
          <w:szCs w:val="20"/>
        </w:rPr>
        <w:t xml:space="preserve">) iznose </w:t>
      </w:r>
      <w:r>
        <w:rPr>
          <w:rFonts w:ascii="Titillium" w:hAnsi="Titillium" w:cs="Arial"/>
          <w:sz w:val="20"/>
          <w:szCs w:val="20"/>
        </w:rPr>
        <w:t>3</w:t>
      </w:r>
      <w:r w:rsidR="00BB4CEB">
        <w:rPr>
          <w:rFonts w:ascii="Titillium" w:hAnsi="Titillium" w:cs="Arial"/>
          <w:sz w:val="20"/>
          <w:szCs w:val="20"/>
        </w:rPr>
        <w:t>5</w:t>
      </w:r>
      <w:r>
        <w:rPr>
          <w:rFonts w:ascii="Titillium" w:hAnsi="Titillium" w:cs="Arial"/>
          <w:sz w:val="20"/>
          <w:szCs w:val="20"/>
        </w:rPr>
        <w:t>.</w:t>
      </w:r>
      <w:r w:rsidR="00BB4CEB">
        <w:rPr>
          <w:rFonts w:ascii="Titillium" w:hAnsi="Titillium" w:cs="Arial"/>
          <w:sz w:val="20"/>
          <w:szCs w:val="20"/>
        </w:rPr>
        <w:t>355</w:t>
      </w:r>
      <w:r>
        <w:rPr>
          <w:rFonts w:ascii="Titillium" w:hAnsi="Titillium" w:cs="Arial"/>
          <w:sz w:val="20"/>
          <w:szCs w:val="20"/>
        </w:rPr>
        <w:t>.</w:t>
      </w:r>
      <w:r w:rsidR="00BB4CEB">
        <w:rPr>
          <w:rFonts w:ascii="Titillium" w:hAnsi="Titillium" w:cs="Arial"/>
          <w:sz w:val="20"/>
          <w:szCs w:val="20"/>
        </w:rPr>
        <w:t>872,63</w:t>
      </w:r>
      <w:r>
        <w:rPr>
          <w:rFonts w:ascii="Titillium" w:hAnsi="Titillium" w:cs="Arial"/>
          <w:sz w:val="20"/>
          <w:szCs w:val="20"/>
        </w:rPr>
        <w:t xml:space="preserve"> EUR</w:t>
      </w:r>
      <w:r w:rsidRPr="008D6A2C">
        <w:rPr>
          <w:rFonts w:ascii="Titillium" w:hAnsi="Titillium" w:cs="Arial"/>
          <w:sz w:val="20"/>
          <w:szCs w:val="20"/>
        </w:rPr>
        <w:t>. Sastoje se od izvora iz proračuna (</w:t>
      </w:r>
      <w:r>
        <w:rPr>
          <w:rFonts w:ascii="Titillium" w:hAnsi="Titillium" w:cs="Arial"/>
          <w:sz w:val="20"/>
          <w:szCs w:val="20"/>
        </w:rPr>
        <w:t>9111</w:t>
      </w:r>
      <w:r w:rsidRPr="008D6A2C">
        <w:rPr>
          <w:rFonts w:ascii="Titillium" w:hAnsi="Titillium" w:cs="Arial"/>
          <w:sz w:val="20"/>
          <w:szCs w:val="20"/>
        </w:rPr>
        <w:t xml:space="preserve">) u iznosu od </w:t>
      </w:r>
      <w:r>
        <w:rPr>
          <w:rFonts w:ascii="Titillium" w:hAnsi="Titillium" w:cs="Arial"/>
          <w:sz w:val="20"/>
          <w:szCs w:val="20"/>
        </w:rPr>
        <w:t>31.6</w:t>
      </w:r>
      <w:r w:rsidR="00BB4CEB">
        <w:rPr>
          <w:rFonts w:ascii="Titillium" w:hAnsi="Titillium" w:cs="Arial"/>
          <w:sz w:val="20"/>
          <w:szCs w:val="20"/>
        </w:rPr>
        <w:t>8</w:t>
      </w:r>
      <w:r>
        <w:rPr>
          <w:rFonts w:ascii="Titillium" w:hAnsi="Titillium" w:cs="Arial"/>
          <w:sz w:val="20"/>
          <w:szCs w:val="20"/>
        </w:rPr>
        <w:t>7.</w:t>
      </w:r>
      <w:r w:rsidR="00BB4CEB">
        <w:rPr>
          <w:rFonts w:ascii="Titillium" w:hAnsi="Titillium" w:cs="Arial"/>
          <w:sz w:val="20"/>
          <w:szCs w:val="20"/>
        </w:rPr>
        <w:t>239,49</w:t>
      </w:r>
      <w:r>
        <w:rPr>
          <w:rFonts w:ascii="Titillium" w:hAnsi="Titillium" w:cs="Arial"/>
          <w:sz w:val="20"/>
          <w:szCs w:val="20"/>
        </w:rPr>
        <w:t xml:space="preserve"> EUR</w:t>
      </w:r>
      <w:r w:rsidRPr="008D6A2C">
        <w:rPr>
          <w:rFonts w:ascii="Titillium" w:hAnsi="Titillium" w:cs="Arial"/>
          <w:sz w:val="20"/>
          <w:szCs w:val="20"/>
        </w:rPr>
        <w:t>, vlastitih izvora (</w:t>
      </w:r>
      <w:r>
        <w:rPr>
          <w:rFonts w:ascii="Titillium" w:hAnsi="Titillium" w:cs="Arial"/>
          <w:sz w:val="20"/>
          <w:szCs w:val="20"/>
        </w:rPr>
        <w:t>razlika 9112 i 912</w:t>
      </w:r>
      <w:r w:rsidRPr="008D6A2C">
        <w:rPr>
          <w:rFonts w:ascii="Titillium" w:hAnsi="Titillium" w:cs="Arial"/>
          <w:sz w:val="20"/>
          <w:szCs w:val="20"/>
        </w:rPr>
        <w:t xml:space="preserve">) u iznosu od </w:t>
      </w:r>
      <w:r w:rsidR="00BB4CEB">
        <w:rPr>
          <w:rFonts w:ascii="Titillium" w:hAnsi="Titillium" w:cs="Arial"/>
          <w:sz w:val="20"/>
          <w:szCs w:val="20"/>
        </w:rPr>
        <w:t>236</w:t>
      </w:r>
      <w:r>
        <w:rPr>
          <w:rFonts w:ascii="Titillium" w:hAnsi="Titillium" w:cs="Arial"/>
          <w:sz w:val="20"/>
          <w:szCs w:val="20"/>
        </w:rPr>
        <w:t>.</w:t>
      </w:r>
      <w:r w:rsidR="00BB4CEB">
        <w:rPr>
          <w:rFonts w:ascii="Titillium" w:hAnsi="Titillium" w:cs="Arial"/>
          <w:sz w:val="20"/>
          <w:szCs w:val="20"/>
        </w:rPr>
        <w:t>865,19</w:t>
      </w:r>
      <w:r>
        <w:rPr>
          <w:rFonts w:ascii="Titillium" w:hAnsi="Titillium" w:cs="Arial"/>
          <w:sz w:val="20"/>
          <w:szCs w:val="20"/>
        </w:rPr>
        <w:t xml:space="preserve"> EUR</w:t>
      </w:r>
      <w:r w:rsidRPr="008D6A2C">
        <w:rPr>
          <w:rFonts w:ascii="Titillium" w:hAnsi="Titillium" w:cs="Arial"/>
          <w:sz w:val="20"/>
          <w:szCs w:val="20"/>
        </w:rPr>
        <w:t>, obračunatih prihoda poslovanja-potraživanja od kupaca (</w:t>
      </w:r>
      <w:r>
        <w:rPr>
          <w:rFonts w:ascii="Titillium" w:hAnsi="Titillium" w:cs="Arial"/>
          <w:sz w:val="20"/>
          <w:szCs w:val="20"/>
        </w:rPr>
        <w:t>96</w:t>
      </w:r>
      <w:r w:rsidRPr="008D6A2C">
        <w:rPr>
          <w:rFonts w:ascii="Titillium" w:hAnsi="Titillium" w:cs="Arial"/>
          <w:sz w:val="20"/>
          <w:szCs w:val="20"/>
        </w:rPr>
        <w:t xml:space="preserve">) u iznosu od </w:t>
      </w:r>
      <w:r>
        <w:rPr>
          <w:rFonts w:ascii="Titillium" w:hAnsi="Titillium" w:cs="Arial"/>
          <w:sz w:val="20"/>
          <w:szCs w:val="20"/>
        </w:rPr>
        <w:t>2</w:t>
      </w:r>
      <w:r w:rsidR="00BB4CEB">
        <w:rPr>
          <w:rFonts w:ascii="Titillium" w:hAnsi="Titillium" w:cs="Arial"/>
          <w:sz w:val="20"/>
          <w:szCs w:val="20"/>
        </w:rPr>
        <w:t>61</w:t>
      </w:r>
      <w:r>
        <w:rPr>
          <w:rFonts w:ascii="Titillium" w:hAnsi="Titillium" w:cs="Arial"/>
          <w:sz w:val="20"/>
          <w:szCs w:val="20"/>
        </w:rPr>
        <w:t>.</w:t>
      </w:r>
      <w:r w:rsidR="00BB4CEB">
        <w:rPr>
          <w:rFonts w:ascii="Titillium" w:hAnsi="Titillium" w:cs="Arial"/>
          <w:sz w:val="20"/>
          <w:szCs w:val="20"/>
        </w:rPr>
        <w:t>976,06</w:t>
      </w:r>
      <w:r>
        <w:rPr>
          <w:rFonts w:ascii="Titillium" w:hAnsi="Titillium" w:cs="Arial"/>
          <w:sz w:val="20"/>
          <w:szCs w:val="20"/>
        </w:rPr>
        <w:t xml:space="preserve"> EUR</w:t>
      </w:r>
      <w:r w:rsidRPr="008D6A2C">
        <w:rPr>
          <w:rFonts w:ascii="Titillium" w:hAnsi="Titillium" w:cs="Arial"/>
          <w:sz w:val="20"/>
          <w:szCs w:val="20"/>
        </w:rPr>
        <w:t xml:space="preserve"> te viška prihoda poslovanja (</w:t>
      </w:r>
      <w:r>
        <w:rPr>
          <w:rFonts w:ascii="Titillium" w:hAnsi="Titillium" w:cs="Arial"/>
          <w:sz w:val="20"/>
          <w:szCs w:val="20"/>
        </w:rPr>
        <w:t>92211</w:t>
      </w:r>
      <w:r w:rsidRPr="008D6A2C">
        <w:rPr>
          <w:rFonts w:ascii="Titillium" w:hAnsi="Titillium" w:cs="Arial"/>
          <w:sz w:val="20"/>
          <w:szCs w:val="20"/>
        </w:rPr>
        <w:t>)</w:t>
      </w:r>
      <w:r>
        <w:rPr>
          <w:rFonts w:ascii="Titillium" w:hAnsi="Titillium" w:cs="Arial"/>
          <w:sz w:val="20"/>
          <w:szCs w:val="20"/>
        </w:rPr>
        <w:t xml:space="preserve"> </w:t>
      </w:r>
      <w:r w:rsidR="0038579C">
        <w:rPr>
          <w:rFonts w:ascii="Titillium" w:hAnsi="Titillium" w:cs="Arial"/>
          <w:sz w:val="20"/>
          <w:szCs w:val="20"/>
        </w:rPr>
        <w:t xml:space="preserve">u iznosu od 3.175.643,64 EUR i </w:t>
      </w:r>
      <w:r>
        <w:rPr>
          <w:rFonts w:ascii="Titillium" w:hAnsi="Titillium" w:cs="Arial"/>
          <w:sz w:val="20"/>
          <w:szCs w:val="20"/>
        </w:rPr>
        <w:t xml:space="preserve"> </w:t>
      </w:r>
      <w:r w:rsidR="0038579C">
        <w:rPr>
          <w:rFonts w:ascii="Titillium" w:hAnsi="Titillium" w:cs="Arial"/>
          <w:sz w:val="20"/>
          <w:szCs w:val="20"/>
        </w:rPr>
        <w:t xml:space="preserve">manjka prihoda od financijske imovine (92223) </w:t>
      </w:r>
      <w:r>
        <w:rPr>
          <w:rFonts w:ascii="Titillium" w:hAnsi="Titillium" w:cs="Arial"/>
          <w:sz w:val="20"/>
          <w:szCs w:val="20"/>
        </w:rPr>
        <w:t>iznosu od</w:t>
      </w:r>
      <w:r w:rsidR="0038579C">
        <w:rPr>
          <w:rFonts w:ascii="Titillium" w:hAnsi="Titillium" w:cs="Arial"/>
          <w:sz w:val="20"/>
          <w:szCs w:val="20"/>
        </w:rPr>
        <w:t xml:space="preserve"> 5.851,75 EUR.</w:t>
      </w:r>
    </w:p>
    <w:p w:rsidR="00855987" w:rsidRDefault="00855987" w:rsidP="00855987">
      <w:pPr>
        <w:spacing w:after="0"/>
        <w:jc w:val="both"/>
        <w:rPr>
          <w:rFonts w:ascii="Titillium" w:hAnsi="Titillium" w:cs="Arial"/>
          <w:sz w:val="20"/>
          <w:szCs w:val="20"/>
        </w:rPr>
      </w:pPr>
    </w:p>
    <w:p w:rsidR="00855987" w:rsidRDefault="00855987" w:rsidP="00855987">
      <w:pPr>
        <w:spacing w:after="0"/>
        <w:jc w:val="center"/>
        <w:rPr>
          <w:rFonts w:ascii="Titillium" w:hAnsi="Titillium" w:cs="Arial"/>
          <w:sz w:val="20"/>
          <w:szCs w:val="20"/>
        </w:rPr>
      </w:pPr>
      <w:r w:rsidRPr="008D6A2C">
        <w:rPr>
          <w:rFonts w:ascii="Titillium" w:hAnsi="Titillium" w:cs="Arial"/>
          <w:sz w:val="20"/>
          <w:szCs w:val="20"/>
        </w:rPr>
        <w:t>OBVEZNE BILJEŠKE UZ BILANCU</w:t>
      </w:r>
      <w:r>
        <w:rPr>
          <w:rFonts w:ascii="Titillium" w:hAnsi="Titillium" w:cs="Arial"/>
          <w:sz w:val="20"/>
          <w:szCs w:val="20"/>
        </w:rPr>
        <w:t xml:space="preserve"> - IZVANBILANČNI ZAPISI</w:t>
      </w:r>
    </w:p>
    <w:p w:rsidR="00EE2A1F" w:rsidRPr="008D6A2C" w:rsidRDefault="00EE2A1F" w:rsidP="00855987">
      <w:pPr>
        <w:spacing w:after="0"/>
        <w:jc w:val="center"/>
        <w:rPr>
          <w:rFonts w:ascii="Titillium" w:hAnsi="Titillium" w:cs="Arial"/>
          <w:sz w:val="20"/>
          <w:szCs w:val="20"/>
        </w:rPr>
      </w:pPr>
    </w:p>
    <w:p w:rsidR="00855987" w:rsidRPr="00F55DD2" w:rsidRDefault="00855987" w:rsidP="00855987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F55DD2">
        <w:rPr>
          <w:rFonts w:ascii="Titillium" w:hAnsi="Titillium" w:cs="Arial"/>
          <w:sz w:val="20"/>
          <w:szCs w:val="20"/>
        </w:rPr>
        <w:t>Ukupan iznos potencijalnih obveza po osnovi sudskih sporova u tijeku na dan 31.12.202</w:t>
      </w:r>
      <w:r w:rsidR="001573BC">
        <w:rPr>
          <w:rFonts w:ascii="Titillium" w:hAnsi="Titillium" w:cs="Arial"/>
          <w:sz w:val="20"/>
          <w:szCs w:val="20"/>
        </w:rPr>
        <w:t>4</w:t>
      </w:r>
      <w:r w:rsidRPr="00F55DD2">
        <w:rPr>
          <w:rFonts w:ascii="Titillium" w:hAnsi="Titillium" w:cs="Arial"/>
          <w:sz w:val="20"/>
          <w:szCs w:val="20"/>
        </w:rPr>
        <w:t xml:space="preserve">. iznosi </w:t>
      </w:r>
      <w:r w:rsidR="000510DB">
        <w:rPr>
          <w:rFonts w:ascii="Titillium" w:hAnsi="Titillium" w:cs="Arial"/>
          <w:sz w:val="20"/>
          <w:szCs w:val="20"/>
        </w:rPr>
        <w:t>39.532,56</w:t>
      </w:r>
      <w:r>
        <w:rPr>
          <w:rFonts w:ascii="Titillium" w:hAnsi="Titillium" w:cs="Arial"/>
          <w:sz w:val="20"/>
          <w:szCs w:val="20"/>
        </w:rPr>
        <w:t xml:space="preserve"> EUR</w:t>
      </w:r>
      <w:r w:rsidR="005E3D5B">
        <w:rPr>
          <w:rFonts w:ascii="Titillium" w:hAnsi="Titillium" w:cs="Arial"/>
          <w:sz w:val="20"/>
          <w:szCs w:val="20"/>
        </w:rPr>
        <w:t xml:space="preserve"> za 4 sudska spora.</w:t>
      </w:r>
      <w:r w:rsidRPr="00F55DD2">
        <w:rPr>
          <w:rFonts w:ascii="Titillium" w:hAnsi="Titillium" w:cs="Arial"/>
          <w:sz w:val="20"/>
          <w:szCs w:val="20"/>
        </w:rPr>
        <w:t xml:space="preserve"> Vrste sporova u tijeku:</w:t>
      </w:r>
    </w:p>
    <w:p w:rsidR="00855987" w:rsidRPr="008D6A2C" w:rsidRDefault="00855987" w:rsidP="00855987">
      <w:pPr>
        <w:pStyle w:val="ListParagraph"/>
        <w:numPr>
          <w:ilvl w:val="0"/>
          <w:numId w:val="9"/>
        </w:numPr>
        <w:spacing w:after="0"/>
        <w:jc w:val="both"/>
        <w:rPr>
          <w:rFonts w:ascii="Titillium" w:hAnsi="Titillium" w:cs="Arial"/>
          <w:sz w:val="20"/>
          <w:szCs w:val="20"/>
        </w:rPr>
      </w:pPr>
      <w:r w:rsidRPr="008D6A2C">
        <w:rPr>
          <w:rFonts w:ascii="Titillium" w:hAnsi="Titillium" w:cs="Arial"/>
          <w:sz w:val="20"/>
          <w:szCs w:val="20"/>
        </w:rPr>
        <w:t xml:space="preserve">Sudski sporovi sa zaposlenicima zbog isplate </w:t>
      </w:r>
      <w:r w:rsidR="001573BC">
        <w:rPr>
          <w:rFonts w:ascii="Titillium" w:hAnsi="Titillium" w:cs="Arial"/>
          <w:sz w:val="20"/>
          <w:szCs w:val="20"/>
        </w:rPr>
        <w:t xml:space="preserve">razlike plaće i </w:t>
      </w:r>
      <w:r w:rsidRPr="008D6A2C">
        <w:rPr>
          <w:rFonts w:ascii="Titillium" w:hAnsi="Titillium" w:cs="Arial"/>
          <w:sz w:val="20"/>
          <w:szCs w:val="20"/>
        </w:rPr>
        <w:t xml:space="preserve">dodatka </w:t>
      </w:r>
      <w:r w:rsidR="001573BC">
        <w:rPr>
          <w:rFonts w:ascii="Titillium" w:hAnsi="Titillium" w:cs="Arial"/>
          <w:sz w:val="20"/>
          <w:szCs w:val="20"/>
        </w:rPr>
        <w:t>za posebne uvjete rada</w:t>
      </w:r>
      <w:r w:rsidRPr="008D6A2C">
        <w:rPr>
          <w:rFonts w:ascii="Titillium" w:hAnsi="Titillium" w:cs="Arial"/>
          <w:sz w:val="20"/>
          <w:szCs w:val="20"/>
        </w:rPr>
        <w:t xml:space="preserve"> – ukupno </w:t>
      </w:r>
      <w:r w:rsidR="001573BC">
        <w:rPr>
          <w:rFonts w:ascii="Titillium" w:hAnsi="Titillium" w:cs="Arial"/>
          <w:sz w:val="20"/>
          <w:szCs w:val="20"/>
        </w:rPr>
        <w:t>3</w:t>
      </w:r>
      <w:r w:rsidRPr="008D6A2C">
        <w:rPr>
          <w:rFonts w:ascii="Titillium" w:hAnsi="Titillium" w:cs="Arial"/>
          <w:sz w:val="20"/>
          <w:szCs w:val="20"/>
        </w:rPr>
        <w:t xml:space="preserve"> spor</w:t>
      </w:r>
      <w:r>
        <w:rPr>
          <w:rFonts w:ascii="Titillium" w:hAnsi="Titillium" w:cs="Arial"/>
          <w:sz w:val="20"/>
          <w:szCs w:val="20"/>
        </w:rPr>
        <w:t>a</w:t>
      </w:r>
      <w:r w:rsidRPr="008D6A2C">
        <w:rPr>
          <w:rFonts w:ascii="Titillium" w:hAnsi="Titillium" w:cs="Arial"/>
          <w:sz w:val="20"/>
          <w:szCs w:val="20"/>
        </w:rPr>
        <w:t xml:space="preserve">, ukupni utuženi iznos bez kamata i troškova postupka iznosi </w:t>
      </w:r>
      <w:r w:rsidR="001573BC">
        <w:rPr>
          <w:rFonts w:ascii="Titillium" w:hAnsi="Titillium" w:cs="Arial"/>
          <w:sz w:val="20"/>
          <w:szCs w:val="20"/>
        </w:rPr>
        <w:t>36.376,51</w:t>
      </w:r>
      <w:r>
        <w:rPr>
          <w:rFonts w:ascii="Titillium" w:hAnsi="Titillium" w:cs="Arial"/>
          <w:sz w:val="20"/>
          <w:szCs w:val="20"/>
        </w:rPr>
        <w:t xml:space="preserve"> EUR</w:t>
      </w:r>
    </w:p>
    <w:p w:rsidR="00855987" w:rsidRDefault="00855987" w:rsidP="00855987">
      <w:pPr>
        <w:pStyle w:val="ListParagraph"/>
        <w:numPr>
          <w:ilvl w:val="0"/>
          <w:numId w:val="9"/>
        </w:numPr>
        <w:spacing w:after="0"/>
        <w:jc w:val="both"/>
        <w:rPr>
          <w:rFonts w:ascii="Titillium" w:hAnsi="Titillium" w:cs="Arial"/>
          <w:sz w:val="20"/>
          <w:szCs w:val="20"/>
        </w:rPr>
      </w:pPr>
      <w:r w:rsidRPr="008D6A2C">
        <w:rPr>
          <w:rFonts w:ascii="Titillium" w:hAnsi="Titillium" w:cs="Arial"/>
          <w:sz w:val="20"/>
          <w:szCs w:val="20"/>
        </w:rPr>
        <w:t xml:space="preserve">Sudski spor </w:t>
      </w:r>
      <w:r w:rsidR="001573BC">
        <w:rPr>
          <w:rFonts w:ascii="Titillium" w:hAnsi="Titillium" w:cs="Arial"/>
          <w:sz w:val="20"/>
          <w:szCs w:val="20"/>
        </w:rPr>
        <w:t>radi</w:t>
      </w:r>
      <w:r w:rsidRPr="008D6A2C">
        <w:rPr>
          <w:rFonts w:ascii="Titillium" w:hAnsi="Titillium" w:cs="Arial"/>
          <w:sz w:val="20"/>
          <w:szCs w:val="20"/>
        </w:rPr>
        <w:t xml:space="preserve"> naknad</w:t>
      </w:r>
      <w:r w:rsidR="001573BC">
        <w:rPr>
          <w:rFonts w:ascii="Titillium" w:hAnsi="Titillium" w:cs="Arial"/>
          <w:sz w:val="20"/>
          <w:szCs w:val="20"/>
        </w:rPr>
        <w:t>e</w:t>
      </w:r>
      <w:r w:rsidRPr="008D6A2C">
        <w:rPr>
          <w:rFonts w:ascii="Titillium" w:hAnsi="Titillium" w:cs="Arial"/>
          <w:sz w:val="20"/>
          <w:szCs w:val="20"/>
        </w:rPr>
        <w:t xml:space="preserve"> štete zbog naleta divljači na području znanstvenoistraživačkog poligona „</w:t>
      </w:r>
      <w:proofErr w:type="spellStart"/>
      <w:r w:rsidRPr="008D6A2C">
        <w:rPr>
          <w:rFonts w:ascii="Titillium" w:hAnsi="Titillium" w:cs="Arial"/>
          <w:sz w:val="20"/>
          <w:szCs w:val="20"/>
        </w:rPr>
        <w:t>Šumbar</w:t>
      </w:r>
      <w:proofErr w:type="spellEnd"/>
      <w:r w:rsidRPr="008D6A2C">
        <w:rPr>
          <w:rFonts w:ascii="Titillium" w:hAnsi="Titillium" w:cs="Arial"/>
          <w:sz w:val="20"/>
          <w:szCs w:val="20"/>
        </w:rPr>
        <w:t xml:space="preserve"> – ukupno </w:t>
      </w:r>
      <w:r>
        <w:rPr>
          <w:rFonts w:ascii="Titillium" w:hAnsi="Titillium" w:cs="Arial"/>
          <w:sz w:val="20"/>
          <w:szCs w:val="20"/>
        </w:rPr>
        <w:t>1</w:t>
      </w:r>
      <w:r w:rsidRPr="008D6A2C">
        <w:rPr>
          <w:rFonts w:ascii="Titillium" w:hAnsi="Titillium" w:cs="Arial"/>
          <w:sz w:val="20"/>
          <w:szCs w:val="20"/>
        </w:rPr>
        <w:t xml:space="preserve"> spor procijenjene vrijednosti utuženog iznosa </w:t>
      </w:r>
      <w:r>
        <w:rPr>
          <w:rFonts w:ascii="Titillium" w:hAnsi="Titillium" w:cs="Arial"/>
          <w:sz w:val="20"/>
          <w:szCs w:val="20"/>
        </w:rPr>
        <w:t>3.156,05 EUR.</w:t>
      </w:r>
    </w:p>
    <w:p w:rsidR="00855987" w:rsidRDefault="00855987" w:rsidP="00855987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>Ukupan iznos izdanih instrumenata osiguranja plaćanja na dan 31.12.202</w:t>
      </w:r>
      <w:r w:rsidR="001573BC">
        <w:rPr>
          <w:rFonts w:ascii="Titillium" w:hAnsi="Titillium" w:cs="Arial"/>
          <w:sz w:val="20"/>
          <w:szCs w:val="20"/>
        </w:rPr>
        <w:t>4</w:t>
      </w:r>
      <w:r>
        <w:rPr>
          <w:rFonts w:ascii="Titillium" w:hAnsi="Titillium" w:cs="Arial"/>
          <w:sz w:val="20"/>
          <w:szCs w:val="20"/>
        </w:rPr>
        <w:t>. godine iznosi 2</w:t>
      </w:r>
      <w:r w:rsidR="001573BC">
        <w:rPr>
          <w:rFonts w:ascii="Titillium" w:hAnsi="Titillium" w:cs="Arial"/>
          <w:sz w:val="20"/>
          <w:szCs w:val="20"/>
        </w:rPr>
        <w:t>27</w:t>
      </w:r>
      <w:r>
        <w:rPr>
          <w:rFonts w:ascii="Titillium" w:hAnsi="Titillium" w:cs="Arial"/>
          <w:sz w:val="20"/>
          <w:szCs w:val="20"/>
        </w:rPr>
        <w:t>.</w:t>
      </w:r>
      <w:r w:rsidR="001573BC">
        <w:rPr>
          <w:rFonts w:ascii="Titillium" w:hAnsi="Titillium" w:cs="Arial"/>
          <w:sz w:val="20"/>
          <w:szCs w:val="20"/>
        </w:rPr>
        <w:t xml:space="preserve">625,39 </w:t>
      </w:r>
      <w:r>
        <w:rPr>
          <w:rFonts w:ascii="Titillium" w:hAnsi="Titillium" w:cs="Arial"/>
          <w:sz w:val="20"/>
          <w:szCs w:val="20"/>
        </w:rPr>
        <w:t xml:space="preserve">EUR. Izdano je ukupno </w:t>
      </w:r>
      <w:r w:rsidR="00EE2A1F">
        <w:rPr>
          <w:rFonts w:ascii="Titillium" w:hAnsi="Titillium" w:cs="Arial"/>
          <w:sz w:val="20"/>
          <w:szCs w:val="20"/>
        </w:rPr>
        <w:t xml:space="preserve">18 jamstava od čega </w:t>
      </w:r>
      <w:r>
        <w:rPr>
          <w:rFonts w:ascii="Titillium" w:hAnsi="Titillium" w:cs="Arial"/>
          <w:sz w:val="20"/>
          <w:szCs w:val="20"/>
        </w:rPr>
        <w:t xml:space="preserve">5 garancija kao jamstvo za uredno ispunjenje ugovora, 1 zadužnica poslovnoj banci kao osiguranje naplate po garancijama, </w:t>
      </w:r>
      <w:r w:rsidR="00C02D67">
        <w:rPr>
          <w:rFonts w:ascii="Titillium" w:hAnsi="Titillium" w:cs="Arial"/>
          <w:sz w:val="20"/>
          <w:szCs w:val="20"/>
        </w:rPr>
        <w:t>6</w:t>
      </w:r>
      <w:r>
        <w:rPr>
          <w:rFonts w:ascii="Titillium" w:hAnsi="Titillium" w:cs="Arial"/>
          <w:sz w:val="20"/>
          <w:szCs w:val="20"/>
        </w:rPr>
        <w:t xml:space="preserve"> zadužnic</w:t>
      </w:r>
      <w:r w:rsidR="00C02D67">
        <w:rPr>
          <w:rFonts w:ascii="Titillium" w:hAnsi="Titillium" w:cs="Arial"/>
          <w:sz w:val="20"/>
          <w:szCs w:val="20"/>
        </w:rPr>
        <w:t>a</w:t>
      </w:r>
      <w:r>
        <w:rPr>
          <w:rFonts w:ascii="Titillium" w:hAnsi="Titillium" w:cs="Arial"/>
          <w:sz w:val="20"/>
          <w:szCs w:val="20"/>
        </w:rPr>
        <w:t xml:space="preserve"> kao jamstvo za uredno ispunjenje ugovora i </w:t>
      </w:r>
      <w:r w:rsidR="00C02D67">
        <w:rPr>
          <w:rFonts w:ascii="Titillium" w:hAnsi="Titillium" w:cs="Arial"/>
          <w:sz w:val="20"/>
          <w:szCs w:val="20"/>
        </w:rPr>
        <w:t>6</w:t>
      </w:r>
      <w:r>
        <w:rPr>
          <w:rFonts w:ascii="Titillium" w:hAnsi="Titillium" w:cs="Arial"/>
          <w:sz w:val="20"/>
          <w:szCs w:val="20"/>
        </w:rPr>
        <w:t xml:space="preserve"> bjanko zadužnic</w:t>
      </w:r>
      <w:r w:rsidR="00C02D67">
        <w:rPr>
          <w:rFonts w:ascii="Titillium" w:hAnsi="Titillium" w:cs="Arial"/>
          <w:sz w:val="20"/>
          <w:szCs w:val="20"/>
        </w:rPr>
        <w:t>a</w:t>
      </w:r>
      <w:r>
        <w:rPr>
          <w:rFonts w:ascii="Titillium" w:hAnsi="Titillium" w:cs="Arial"/>
          <w:sz w:val="20"/>
          <w:szCs w:val="20"/>
        </w:rPr>
        <w:t xml:space="preserve"> kao jamstvo za uredno ispunjenje ugovora.</w:t>
      </w:r>
    </w:p>
    <w:p w:rsidR="00855987" w:rsidRDefault="00855987" w:rsidP="00855987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>Ukupan iznos primljenih jamstava na dan 31.12.202</w:t>
      </w:r>
      <w:r w:rsidR="00C02D67">
        <w:rPr>
          <w:rFonts w:ascii="Titillium" w:hAnsi="Titillium" w:cs="Arial"/>
          <w:sz w:val="20"/>
          <w:szCs w:val="20"/>
        </w:rPr>
        <w:t>4</w:t>
      </w:r>
      <w:r>
        <w:rPr>
          <w:rFonts w:ascii="Titillium" w:hAnsi="Titillium" w:cs="Arial"/>
          <w:sz w:val="20"/>
          <w:szCs w:val="20"/>
        </w:rPr>
        <w:t>. iznosi 2</w:t>
      </w:r>
      <w:r w:rsidR="00C02D67">
        <w:rPr>
          <w:rFonts w:ascii="Titillium" w:hAnsi="Titillium" w:cs="Arial"/>
          <w:sz w:val="20"/>
          <w:szCs w:val="20"/>
        </w:rPr>
        <w:t>62.277,56</w:t>
      </w:r>
      <w:r>
        <w:rPr>
          <w:rFonts w:ascii="Titillium" w:hAnsi="Titillium" w:cs="Arial"/>
          <w:sz w:val="20"/>
          <w:szCs w:val="20"/>
        </w:rPr>
        <w:t xml:space="preserve"> EUR. Primljeno je ukupno </w:t>
      </w:r>
      <w:r w:rsidR="00C02D67">
        <w:rPr>
          <w:rFonts w:ascii="Titillium" w:hAnsi="Titillium" w:cs="Arial"/>
          <w:sz w:val="20"/>
          <w:szCs w:val="20"/>
        </w:rPr>
        <w:t>7</w:t>
      </w:r>
      <w:r>
        <w:rPr>
          <w:rFonts w:ascii="Titillium" w:hAnsi="Titillium" w:cs="Arial"/>
          <w:sz w:val="20"/>
          <w:szCs w:val="20"/>
        </w:rPr>
        <w:t xml:space="preserve"> garancija, od čega </w:t>
      </w:r>
      <w:r w:rsidR="00C02D67">
        <w:rPr>
          <w:rFonts w:ascii="Titillium" w:hAnsi="Titillium" w:cs="Arial"/>
          <w:sz w:val="20"/>
          <w:szCs w:val="20"/>
        </w:rPr>
        <w:t>3</w:t>
      </w:r>
      <w:r>
        <w:rPr>
          <w:rFonts w:ascii="Titillium" w:hAnsi="Titillium" w:cs="Arial"/>
          <w:sz w:val="20"/>
          <w:szCs w:val="20"/>
        </w:rPr>
        <w:t xml:space="preserve"> kao jamstvo za uredno ispunjenje ugovora</w:t>
      </w:r>
      <w:r w:rsidR="00C02D67">
        <w:rPr>
          <w:rFonts w:ascii="Titillium" w:hAnsi="Titillium" w:cs="Arial"/>
          <w:sz w:val="20"/>
          <w:szCs w:val="20"/>
        </w:rPr>
        <w:t>, 2</w:t>
      </w:r>
      <w:r>
        <w:rPr>
          <w:rFonts w:ascii="Titillium" w:hAnsi="Titillium" w:cs="Arial"/>
          <w:sz w:val="20"/>
          <w:szCs w:val="20"/>
        </w:rPr>
        <w:t xml:space="preserve"> kao jamstvo za otklanjanje nedostataka</w:t>
      </w:r>
      <w:r w:rsidR="00C02D67">
        <w:rPr>
          <w:rFonts w:ascii="Titillium" w:hAnsi="Titillium" w:cs="Arial"/>
          <w:sz w:val="20"/>
          <w:szCs w:val="20"/>
        </w:rPr>
        <w:t xml:space="preserve"> i 2 kao jamstvo za ozbiljnost ponude.</w:t>
      </w:r>
    </w:p>
    <w:p w:rsidR="000A7BFC" w:rsidRPr="008D6A2C" w:rsidRDefault="000A7BFC" w:rsidP="00855987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>Institut ima evidentiranu tuđu imovinu dobivenu na korištenje koja se sastoji od jednog terenskog vozila i  pokretnog laboratorija – terenskog vozila sa mjernom opremom. Sadašnja vrijednost evidentirane tuđe imovine  je 0,00 EUR.</w:t>
      </w:r>
    </w:p>
    <w:p w:rsidR="00855987" w:rsidRPr="008D6A2C" w:rsidRDefault="00855987" w:rsidP="00855987">
      <w:pPr>
        <w:spacing w:after="0"/>
        <w:rPr>
          <w:rFonts w:ascii="Titillium" w:hAnsi="Titillium" w:cs="Arial"/>
          <w:sz w:val="20"/>
          <w:szCs w:val="20"/>
        </w:rPr>
      </w:pPr>
    </w:p>
    <w:p w:rsidR="00855987" w:rsidRPr="008D6A2C" w:rsidRDefault="00855987" w:rsidP="00855987">
      <w:pPr>
        <w:spacing w:after="0"/>
        <w:ind w:left="360"/>
        <w:jc w:val="center"/>
        <w:rPr>
          <w:rFonts w:ascii="Titillium" w:hAnsi="Titillium" w:cs="Arial"/>
          <w:b/>
          <w:sz w:val="20"/>
          <w:szCs w:val="20"/>
        </w:rPr>
      </w:pPr>
      <w:r w:rsidRPr="008D6A2C">
        <w:rPr>
          <w:rFonts w:ascii="Titillium" w:hAnsi="Titillium" w:cs="Arial"/>
          <w:b/>
          <w:sz w:val="20"/>
          <w:szCs w:val="20"/>
        </w:rPr>
        <w:t>IZVJEŠTAJ O RASHODIMA PO FUNKCIJSKOJ KLASIFIKACIJI (Obrazac RAS funkcijski)</w:t>
      </w:r>
    </w:p>
    <w:p w:rsidR="00855987" w:rsidRPr="008D6A2C" w:rsidRDefault="00855987" w:rsidP="00855987">
      <w:pPr>
        <w:spacing w:after="0"/>
        <w:rPr>
          <w:rFonts w:ascii="Titillium" w:hAnsi="Titillium" w:cs="Arial"/>
          <w:sz w:val="20"/>
          <w:szCs w:val="20"/>
        </w:rPr>
      </w:pPr>
    </w:p>
    <w:p w:rsidR="00855987" w:rsidRPr="008D6A2C" w:rsidRDefault="00855987" w:rsidP="00855987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8D6A2C">
        <w:rPr>
          <w:rFonts w:ascii="Titillium" w:hAnsi="Titillium" w:cs="Arial"/>
          <w:sz w:val="20"/>
          <w:szCs w:val="20"/>
        </w:rPr>
        <w:t xml:space="preserve">Prema Odluci o Nacionalnoj klasifikaciji djelatnosti 2007. - NKD 2007., Institut je razvrstan u djelatnost </w:t>
      </w:r>
      <w:r w:rsidRPr="008D6A2C">
        <w:rPr>
          <w:rFonts w:ascii="Titillium" w:hAnsi="Titillium" w:cs="Arial"/>
          <w:i/>
          <w:sz w:val="20"/>
          <w:szCs w:val="20"/>
        </w:rPr>
        <w:t>Ostalo istraživanje i eksperimentalni razvoj u prirodnim, tehničkim i tehnološkim znanostima</w:t>
      </w:r>
      <w:r w:rsidRPr="008D6A2C">
        <w:rPr>
          <w:rFonts w:ascii="Titillium" w:hAnsi="Titillium" w:cs="Arial"/>
          <w:sz w:val="20"/>
          <w:szCs w:val="20"/>
        </w:rPr>
        <w:t xml:space="preserve"> (šifra djelatnosti 7219). U obrascu RAS funkcijski ukupni rashodi iskazani su na </w:t>
      </w:r>
      <w:r>
        <w:rPr>
          <w:rFonts w:ascii="Titillium" w:hAnsi="Titillium" w:cs="Arial"/>
          <w:sz w:val="20"/>
          <w:szCs w:val="20"/>
        </w:rPr>
        <w:t xml:space="preserve">šifri 075 </w:t>
      </w:r>
      <w:r w:rsidRPr="008D6A2C">
        <w:rPr>
          <w:rFonts w:ascii="Titillium" w:hAnsi="Titillium" w:cs="Arial"/>
          <w:sz w:val="20"/>
          <w:szCs w:val="20"/>
        </w:rPr>
        <w:t>-</w:t>
      </w:r>
      <w:r>
        <w:rPr>
          <w:rFonts w:ascii="Titillium" w:hAnsi="Titillium" w:cs="Arial"/>
          <w:sz w:val="20"/>
          <w:szCs w:val="20"/>
        </w:rPr>
        <w:t xml:space="preserve"> </w:t>
      </w:r>
      <w:r w:rsidRPr="008D6A2C">
        <w:rPr>
          <w:rFonts w:ascii="Titillium" w:hAnsi="Titillium" w:cs="Arial"/>
          <w:sz w:val="20"/>
          <w:szCs w:val="20"/>
        </w:rPr>
        <w:t>istraživanje i razvoj zdravstva. Iskazani iznos (</w:t>
      </w:r>
      <w:r>
        <w:rPr>
          <w:rFonts w:ascii="Titillium" w:hAnsi="Titillium" w:cs="Arial"/>
          <w:sz w:val="20"/>
          <w:szCs w:val="20"/>
        </w:rPr>
        <w:t>1</w:t>
      </w:r>
      <w:r w:rsidR="00695020">
        <w:rPr>
          <w:rFonts w:ascii="Titillium" w:hAnsi="Titillium" w:cs="Arial"/>
          <w:sz w:val="20"/>
          <w:szCs w:val="20"/>
        </w:rPr>
        <w:t>1</w:t>
      </w:r>
      <w:r w:rsidR="006D5DAB">
        <w:rPr>
          <w:rFonts w:ascii="Titillium" w:hAnsi="Titillium" w:cs="Arial"/>
          <w:sz w:val="20"/>
          <w:szCs w:val="20"/>
        </w:rPr>
        <w:t>.</w:t>
      </w:r>
      <w:r w:rsidR="00695020">
        <w:rPr>
          <w:rFonts w:ascii="Titillium" w:hAnsi="Titillium" w:cs="Arial"/>
          <w:sz w:val="20"/>
          <w:szCs w:val="20"/>
        </w:rPr>
        <w:t>231</w:t>
      </w:r>
      <w:r w:rsidR="006D5DAB">
        <w:rPr>
          <w:rFonts w:ascii="Titillium" w:hAnsi="Titillium" w:cs="Arial"/>
          <w:sz w:val="20"/>
          <w:szCs w:val="20"/>
        </w:rPr>
        <w:t>.</w:t>
      </w:r>
      <w:r w:rsidR="00695020">
        <w:rPr>
          <w:rFonts w:ascii="Titillium" w:hAnsi="Titillium" w:cs="Arial"/>
          <w:sz w:val="20"/>
          <w:szCs w:val="20"/>
        </w:rPr>
        <w:t>604,64</w:t>
      </w:r>
      <w:r>
        <w:rPr>
          <w:rFonts w:ascii="Titillium" w:hAnsi="Titillium" w:cs="Arial"/>
          <w:sz w:val="20"/>
          <w:szCs w:val="20"/>
        </w:rPr>
        <w:t xml:space="preserve"> EUR</w:t>
      </w:r>
      <w:r w:rsidRPr="008D6A2C">
        <w:rPr>
          <w:rFonts w:ascii="Titillium" w:hAnsi="Titillium" w:cs="Arial"/>
          <w:sz w:val="20"/>
          <w:szCs w:val="20"/>
        </w:rPr>
        <w:t xml:space="preserve">) odgovara zbroju </w:t>
      </w:r>
      <w:r>
        <w:rPr>
          <w:rFonts w:ascii="Titillium" w:hAnsi="Titillium" w:cs="Arial"/>
          <w:sz w:val="20"/>
          <w:szCs w:val="20"/>
        </w:rPr>
        <w:t>šifri 3 i 4</w:t>
      </w:r>
      <w:r w:rsidRPr="008D6A2C">
        <w:rPr>
          <w:rFonts w:ascii="Titillium" w:hAnsi="Titillium" w:cs="Arial"/>
          <w:sz w:val="20"/>
          <w:szCs w:val="20"/>
        </w:rPr>
        <w:t xml:space="preserve"> obrasca PR-RAS, odnosno zbroju rashoda poslovanja i rashoda za nabavu nefinancijske imovine. </w:t>
      </w:r>
    </w:p>
    <w:p w:rsidR="00855987" w:rsidRPr="008D6A2C" w:rsidRDefault="00855987" w:rsidP="00855987">
      <w:pPr>
        <w:spacing w:after="0"/>
        <w:rPr>
          <w:rFonts w:ascii="Titillium" w:hAnsi="Titillium" w:cs="Arial"/>
          <w:sz w:val="20"/>
          <w:szCs w:val="20"/>
        </w:rPr>
      </w:pPr>
    </w:p>
    <w:p w:rsidR="00855987" w:rsidRPr="008D6A2C" w:rsidRDefault="00855987" w:rsidP="00855987">
      <w:pPr>
        <w:spacing w:after="0"/>
        <w:jc w:val="center"/>
        <w:rPr>
          <w:rFonts w:ascii="Titillium" w:hAnsi="Titillium" w:cs="Arial"/>
          <w:b/>
          <w:sz w:val="20"/>
          <w:szCs w:val="20"/>
        </w:rPr>
      </w:pPr>
      <w:r w:rsidRPr="008D6A2C">
        <w:rPr>
          <w:rFonts w:ascii="Titillium" w:hAnsi="Titillium" w:cs="Arial"/>
          <w:b/>
          <w:sz w:val="20"/>
          <w:szCs w:val="20"/>
        </w:rPr>
        <w:t>PROMJENE U VRIJEDNOSTI I OBUJMU IMOVINE I OBVEZA (Obrazac P-VRIO)</w:t>
      </w:r>
    </w:p>
    <w:p w:rsidR="00855987" w:rsidRPr="008D6A2C" w:rsidRDefault="00855987" w:rsidP="00855987">
      <w:pPr>
        <w:spacing w:after="0"/>
        <w:rPr>
          <w:rFonts w:ascii="Titillium" w:hAnsi="Titillium" w:cs="Arial"/>
          <w:sz w:val="20"/>
          <w:szCs w:val="20"/>
        </w:rPr>
      </w:pPr>
    </w:p>
    <w:p w:rsidR="00855987" w:rsidRPr="008D6A2C" w:rsidRDefault="00855987" w:rsidP="00855987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8D6A2C">
        <w:rPr>
          <w:rFonts w:ascii="Titillium" w:hAnsi="Titillium" w:cs="Arial"/>
          <w:sz w:val="20"/>
          <w:szCs w:val="20"/>
        </w:rPr>
        <w:lastRenderedPageBreak/>
        <w:t>U 20</w:t>
      </w:r>
      <w:r>
        <w:rPr>
          <w:rFonts w:ascii="Titillium" w:hAnsi="Titillium" w:cs="Arial"/>
          <w:sz w:val="20"/>
          <w:szCs w:val="20"/>
        </w:rPr>
        <w:t>2</w:t>
      </w:r>
      <w:r w:rsidR="00D00B2A">
        <w:rPr>
          <w:rFonts w:ascii="Titillium" w:hAnsi="Titillium" w:cs="Arial"/>
          <w:sz w:val="20"/>
          <w:szCs w:val="20"/>
        </w:rPr>
        <w:t>4</w:t>
      </w:r>
      <w:r w:rsidRPr="008D6A2C">
        <w:rPr>
          <w:rFonts w:ascii="Titillium" w:hAnsi="Titillium" w:cs="Arial"/>
          <w:sz w:val="20"/>
          <w:szCs w:val="20"/>
        </w:rPr>
        <w:t xml:space="preserve">. godini evidentirano je smanjenje vrijednosti </w:t>
      </w:r>
      <w:r>
        <w:rPr>
          <w:rFonts w:ascii="Titillium" w:hAnsi="Titillium" w:cs="Arial"/>
          <w:sz w:val="20"/>
          <w:szCs w:val="20"/>
        </w:rPr>
        <w:t xml:space="preserve">dugotrajne imovine </w:t>
      </w:r>
      <w:r w:rsidRPr="008D6A2C">
        <w:rPr>
          <w:rFonts w:ascii="Titillium" w:hAnsi="Titillium" w:cs="Arial"/>
          <w:sz w:val="20"/>
          <w:szCs w:val="20"/>
        </w:rPr>
        <w:t xml:space="preserve">u iznosu od </w:t>
      </w:r>
      <w:r>
        <w:rPr>
          <w:rFonts w:ascii="Titillium" w:hAnsi="Titillium" w:cs="Arial"/>
          <w:sz w:val="20"/>
          <w:szCs w:val="20"/>
        </w:rPr>
        <w:t>1</w:t>
      </w:r>
      <w:r w:rsidR="006D5DAB">
        <w:rPr>
          <w:rFonts w:ascii="Titillium" w:hAnsi="Titillium" w:cs="Arial"/>
          <w:sz w:val="20"/>
          <w:szCs w:val="20"/>
        </w:rPr>
        <w:t>72.303,09</w:t>
      </w:r>
      <w:r>
        <w:rPr>
          <w:rFonts w:ascii="Titillium" w:hAnsi="Titillium" w:cs="Arial"/>
          <w:sz w:val="20"/>
          <w:szCs w:val="20"/>
        </w:rPr>
        <w:t xml:space="preserve"> EUR. Smanjenje vrijednosti proizvedene dugotrajne imovine (P003) u iznosu od 1</w:t>
      </w:r>
      <w:r w:rsidR="006D5DAB">
        <w:rPr>
          <w:rFonts w:ascii="Titillium" w:hAnsi="Titillium" w:cs="Arial"/>
          <w:sz w:val="20"/>
          <w:szCs w:val="20"/>
        </w:rPr>
        <w:t>72.303,09</w:t>
      </w:r>
      <w:r>
        <w:rPr>
          <w:rFonts w:ascii="Titillium" w:hAnsi="Titillium" w:cs="Arial"/>
          <w:sz w:val="20"/>
          <w:szCs w:val="20"/>
        </w:rPr>
        <w:t xml:space="preserve"> EUR izvršeno je temeljem Odluke o </w:t>
      </w:r>
      <w:proofErr w:type="spellStart"/>
      <w:r>
        <w:rPr>
          <w:rFonts w:ascii="Titillium" w:hAnsi="Titillium" w:cs="Arial"/>
          <w:sz w:val="20"/>
          <w:szCs w:val="20"/>
        </w:rPr>
        <w:t>isknjiženju</w:t>
      </w:r>
      <w:proofErr w:type="spellEnd"/>
      <w:r>
        <w:rPr>
          <w:rFonts w:ascii="Titillium" w:hAnsi="Titillium" w:cs="Arial"/>
          <w:sz w:val="20"/>
          <w:szCs w:val="20"/>
        </w:rPr>
        <w:t xml:space="preserve"> nefinancijske imovine. </w:t>
      </w:r>
      <w:proofErr w:type="spellStart"/>
      <w:r>
        <w:rPr>
          <w:rFonts w:ascii="Titillium" w:hAnsi="Titillium" w:cs="Arial"/>
          <w:sz w:val="20"/>
          <w:szCs w:val="20"/>
        </w:rPr>
        <w:t>Isknjižen</w:t>
      </w:r>
      <w:r w:rsidR="00391F60">
        <w:rPr>
          <w:rFonts w:ascii="Titillium" w:hAnsi="Titillium" w:cs="Arial"/>
          <w:sz w:val="20"/>
          <w:szCs w:val="20"/>
        </w:rPr>
        <w:t>j</w:t>
      </w:r>
      <w:r w:rsidR="0091649D">
        <w:rPr>
          <w:rFonts w:ascii="Titillium" w:hAnsi="Titillium" w:cs="Arial"/>
          <w:sz w:val="20"/>
          <w:szCs w:val="20"/>
        </w:rPr>
        <w:t>e</w:t>
      </w:r>
      <w:proofErr w:type="spellEnd"/>
      <w:r w:rsidR="0091649D">
        <w:rPr>
          <w:rFonts w:ascii="Titillium" w:hAnsi="Titillium" w:cs="Arial"/>
          <w:sz w:val="20"/>
          <w:szCs w:val="20"/>
        </w:rPr>
        <w:t xml:space="preserve"> je napravljeno zbog građevinskih radova na konstrukcijskoj obnovi sjeverne zgrade</w:t>
      </w:r>
      <w:r>
        <w:rPr>
          <w:rFonts w:ascii="Titillium" w:hAnsi="Titillium" w:cs="Arial"/>
          <w:sz w:val="20"/>
          <w:szCs w:val="20"/>
        </w:rPr>
        <w:t xml:space="preserve"> Instituta. </w:t>
      </w:r>
    </w:p>
    <w:p w:rsidR="00855987" w:rsidRDefault="00855987" w:rsidP="004D1182">
      <w:pPr>
        <w:spacing w:after="0"/>
        <w:jc w:val="center"/>
        <w:rPr>
          <w:rFonts w:ascii="Titillium" w:hAnsi="Titillium" w:cs="Arial"/>
          <w:b/>
          <w:sz w:val="20"/>
          <w:szCs w:val="20"/>
        </w:rPr>
      </w:pPr>
    </w:p>
    <w:p w:rsidR="004D1182" w:rsidRPr="008D6A2C" w:rsidRDefault="004D1182" w:rsidP="004D1182">
      <w:pPr>
        <w:spacing w:after="0"/>
        <w:jc w:val="center"/>
        <w:rPr>
          <w:rFonts w:ascii="Titillium" w:hAnsi="Titillium" w:cs="Arial"/>
          <w:b/>
          <w:sz w:val="20"/>
          <w:szCs w:val="20"/>
        </w:rPr>
      </w:pPr>
      <w:r w:rsidRPr="008D6A2C">
        <w:rPr>
          <w:rFonts w:ascii="Titillium" w:hAnsi="Titillium" w:cs="Arial"/>
          <w:b/>
          <w:sz w:val="20"/>
          <w:szCs w:val="20"/>
        </w:rPr>
        <w:t>IZVJEŠTAJ O OBVEZAMA (Obrazac Obveze)</w:t>
      </w:r>
    </w:p>
    <w:p w:rsidR="004D1182" w:rsidRPr="008D6A2C" w:rsidRDefault="004D1182" w:rsidP="004D1182">
      <w:pPr>
        <w:spacing w:after="0"/>
        <w:rPr>
          <w:rFonts w:ascii="Titillium" w:hAnsi="Titillium" w:cs="Arial"/>
          <w:sz w:val="20"/>
          <w:szCs w:val="20"/>
        </w:rPr>
      </w:pPr>
    </w:p>
    <w:p w:rsidR="008C2D58" w:rsidRPr="008D6A2C" w:rsidRDefault="008C2D58" w:rsidP="008C2D58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8D6A2C">
        <w:rPr>
          <w:rFonts w:ascii="Titillium" w:hAnsi="Titillium" w:cs="Arial"/>
          <w:sz w:val="20"/>
          <w:szCs w:val="20"/>
        </w:rPr>
        <w:t>Početno stanje obveza na dan 01.01.202</w:t>
      </w:r>
      <w:r w:rsidR="004D382F">
        <w:rPr>
          <w:rFonts w:ascii="Titillium" w:hAnsi="Titillium" w:cs="Arial"/>
          <w:sz w:val="20"/>
          <w:szCs w:val="20"/>
        </w:rPr>
        <w:t>4</w:t>
      </w:r>
      <w:r w:rsidRPr="008D6A2C">
        <w:rPr>
          <w:rFonts w:ascii="Titillium" w:hAnsi="Titillium" w:cs="Arial"/>
          <w:sz w:val="20"/>
          <w:szCs w:val="20"/>
        </w:rPr>
        <w:t>. (</w:t>
      </w:r>
      <w:r w:rsidR="000623F2" w:rsidRPr="008D6A2C">
        <w:rPr>
          <w:rFonts w:ascii="Titillium" w:hAnsi="Titillium" w:cs="Arial"/>
          <w:sz w:val="20"/>
          <w:szCs w:val="20"/>
        </w:rPr>
        <w:t>V</w:t>
      </w:r>
      <w:r w:rsidRPr="008D6A2C">
        <w:rPr>
          <w:rFonts w:ascii="Titillium" w:hAnsi="Titillium" w:cs="Arial"/>
          <w:sz w:val="20"/>
          <w:szCs w:val="20"/>
        </w:rPr>
        <w:t xml:space="preserve">001) iznosilo je </w:t>
      </w:r>
      <w:r w:rsidR="00015E4A">
        <w:rPr>
          <w:rFonts w:ascii="Titillium" w:hAnsi="Titillium" w:cs="Arial"/>
          <w:sz w:val="20"/>
          <w:szCs w:val="20"/>
        </w:rPr>
        <w:t>3</w:t>
      </w:r>
      <w:r w:rsidR="004D382F">
        <w:rPr>
          <w:rFonts w:ascii="Titillium" w:hAnsi="Titillium" w:cs="Arial"/>
          <w:sz w:val="20"/>
          <w:szCs w:val="20"/>
        </w:rPr>
        <w:t>28</w:t>
      </w:r>
      <w:r w:rsidR="00015E4A">
        <w:rPr>
          <w:rFonts w:ascii="Titillium" w:hAnsi="Titillium" w:cs="Arial"/>
          <w:sz w:val="20"/>
          <w:szCs w:val="20"/>
        </w:rPr>
        <w:t>.</w:t>
      </w:r>
      <w:r w:rsidR="004D382F">
        <w:rPr>
          <w:rFonts w:ascii="Titillium" w:hAnsi="Titillium" w:cs="Arial"/>
          <w:sz w:val="20"/>
          <w:szCs w:val="20"/>
        </w:rPr>
        <w:t>150,07</w:t>
      </w:r>
      <w:r w:rsidR="00015E4A">
        <w:rPr>
          <w:rFonts w:ascii="Titillium" w:hAnsi="Titillium" w:cs="Arial"/>
          <w:sz w:val="20"/>
          <w:szCs w:val="20"/>
        </w:rPr>
        <w:t xml:space="preserve"> EUR</w:t>
      </w:r>
      <w:r w:rsidRPr="008D6A2C">
        <w:rPr>
          <w:rFonts w:ascii="Titillium" w:hAnsi="Titillium" w:cs="Arial"/>
          <w:sz w:val="20"/>
          <w:szCs w:val="20"/>
        </w:rPr>
        <w:t>. U izvještajnom razdoblju stvorene su obveze (</w:t>
      </w:r>
      <w:r w:rsidR="000623F2" w:rsidRPr="008D6A2C">
        <w:rPr>
          <w:rFonts w:ascii="Titillium" w:hAnsi="Titillium" w:cs="Arial"/>
          <w:sz w:val="20"/>
          <w:szCs w:val="20"/>
        </w:rPr>
        <w:t>V</w:t>
      </w:r>
      <w:r w:rsidRPr="008D6A2C">
        <w:rPr>
          <w:rFonts w:ascii="Titillium" w:hAnsi="Titillium" w:cs="Arial"/>
          <w:sz w:val="20"/>
          <w:szCs w:val="20"/>
        </w:rPr>
        <w:t xml:space="preserve">002) u ukupnom iznosu od </w:t>
      </w:r>
      <w:r w:rsidR="00FD38C8">
        <w:rPr>
          <w:rFonts w:ascii="Titillium" w:hAnsi="Titillium" w:cs="Arial"/>
          <w:sz w:val="20"/>
          <w:szCs w:val="20"/>
        </w:rPr>
        <w:t>11.800.276,44</w:t>
      </w:r>
      <w:r w:rsidR="009E4C10">
        <w:rPr>
          <w:rFonts w:ascii="Titillium" w:hAnsi="Titillium" w:cs="Arial"/>
          <w:sz w:val="20"/>
          <w:szCs w:val="20"/>
        </w:rPr>
        <w:t xml:space="preserve"> EUR</w:t>
      </w:r>
      <w:r w:rsidRPr="008D6A2C">
        <w:rPr>
          <w:rFonts w:ascii="Titillium" w:hAnsi="Titillium" w:cs="Arial"/>
          <w:sz w:val="20"/>
          <w:szCs w:val="20"/>
        </w:rPr>
        <w:t xml:space="preserve"> a podmireno je </w:t>
      </w:r>
      <w:r w:rsidR="00AE1573">
        <w:rPr>
          <w:rFonts w:ascii="Titillium" w:hAnsi="Titillium" w:cs="Arial"/>
          <w:sz w:val="20"/>
          <w:szCs w:val="20"/>
        </w:rPr>
        <w:t>12.018.762,64</w:t>
      </w:r>
      <w:r w:rsidR="009E4C10">
        <w:rPr>
          <w:rFonts w:ascii="Titillium" w:hAnsi="Titillium" w:cs="Arial"/>
          <w:sz w:val="20"/>
          <w:szCs w:val="20"/>
        </w:rPr>
        <w:t xml:space="preserve"> EUR</w:t>
      </w:r>
      <w:r w:rsidRPr="008D6A2C">
        <w:rPr>
          <w:rFonts w:ascii="Titillium" w:hAnsi="Titillium" w:cs="Arial"/>
          <w:sz w:val="20"/>
          <w:szCs w:val="20"/>
        </w:rPr>
        <w:t xml:space="preserve"> (</w:t>
      </w:r>
      <w:r w:rsidR="00B51DB0" w:rsidRPr="008D6A2C">
        <w:rPr>
          <w:rFonts w:ascii="Titillium" w:hAnsi="Titillium" w:cs="Arial"/>
          <w:sz w:val="20"/>
          <w:szCs w:val="20"/>
        </w:rPr>
        <w:t>V004</w:t>
      </w:r>
      <w:r w:rsidRPr="008D6A2C">
        <w:rPr>
          <w:rFonts w:ascii="Titillium" w:hAnsi="Titillium" w:cs="Arial"/>
          <w:sz w:val="20"/>
          <w:szCs w:val="20"/>
        </w:rPr>
        <w:t>).</w:t>
      </w:r>
    </w:p>
    <w:p w:rsidR="008D0FEB" w:rsidRDefault="008C2D58" w:rsidP="005B2EFF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8D6A2C">
        <w:rPr>
          <w:rFonts w:ascii="Titillium" w:hAnsi="Titillium" w:cs="Arial"/>
          <w:sz w:val="20"/>
          <w:szCs w:val="20"/>
        </w:rPr>
        <w:t>Stanje obveza na dan 3</w:t>
      </w:r>
      <w:r w:rsidR="00AE1573">
        <w:rPr>
          <w:rFonts w:ascii="Titillium" w:hAnsi="Titillium" w:cs="Arial"/>
          <w:sz w:val="20"/>
          <w:szCs w:val="20"/>
        </w:rPr>
        <w:t>1</w:t>
      </w:r>
      <w:r w:rsidRPr="008D6A2C">
        <w:rPr>
          <w:rFonts w:ascii="Titillium" w:hAnsi="Titillium" w:cs="Arial"/>
          <w:sz w:val="20"/>
          <w:szCs w:val="20"/>
        </w:rPr>
        <w:t>.</w:t>
      </w:r>
      <w:r w:rsidR="00AE1573">
        <w:rPr>
          <w:rFonts w:ascii="Titillium" w:hAnsi="Titillium" w:cs="Arial"/>
          <w:sz w:val="20"/>
          <w:szCs w:val="20"/>
        </w:rPr>
        <w:t>12</w:t>
      </w:r>
      <w:r w:rsidRPr="008D6A2C">
        <w:rPr>
          <w:rFonts w:ascii="Titillium" w:hAnsi="Titillium" w:cs="Arial"/>
          <w:sz w:val="20"/>
          <w:szCs w:val="20"/>
        </w:rPr>
        <w:t>.202</w:t>
      </w:r>
      <w:r w:rsidR="004D382F">
        <w:rPr>
          <w:rFonts w:ascii="Titillium" w:hAnsi="Titillium" w:cs="Arial"/>
          <w:sz w:val="20"/>
          <w:szCs w:val="20"/>
        </w:rPr>
        <w:t>4</w:t>
      </w:r>
      <w:r w:rsidRPr="008D6A2C">
        <w:rPr>
          <w:rFonts w:ascii="Titillium" w:hAnsi="Titillium" w:cs="Arial"/>
          <w:sz w:val="20"/>
          <w:szCs w:val="20"/>
        </w:rPr>
        <w:t>. (</w:t>
      </w:r>
      <w:r w:rsidR="00DE766E" w:rsidRPr="008D6A2C">
        <w:rPr>
          <w:rFonts w:ascii="Titillium" w:hAnsi="Titillium" w:cs="Arial"/>
          <w:sz w:val="20"/>
          <w:szCs w:val="20"/>
        </w:rPr>
        <w:t>V006</w:t>
      </w:r>
      <w:r w:rsidRPr="008D6A2C">
        <w:rPr>
          <w:rFonts w:ascii="Titillium" w:hAnsi="Titillium" w:cs="Arial"/>
          <w:sz w:val="20"/>
          <w:szCs w:val="20"/>
        </w:rPr>
        <w:t xml:space="preserve">) iznosilo je </w:t>
      </w:r>
      <w:r w:rsidR="00AE1573">
        <w:rPr>
          <w:rFonts w:ascii="Titillium" w:hAnsi="Titillium" w:cs="Arial"/>
          <w:sz w:val="20"/>
          <w:szCs w:val="20"/>
        </w:rPr>
        <w:t>109.663,87</w:t>
      </w:r>
      <w:r w:rsidR="009E4C10">
        <w:rPr>
          <w:rFonts w:ascii="Titillium" w:hAnsi="Titillium" w:cs="Arial"/>
          <w:sz w:val="20"/>
          <w:szCs w:val="20"/>
        </w:rPr>
        <w:t xml:space="preserve"> EUR</w:t>
      </w:r>
      <w:r w:rsidR="0087279A" w:rsidRPr="008D6A2C">
        <w:rPr>
          <w:rFonts w:ascii="Titillium" w:hAnsi="Titillium" w:cs="Arial"/>
          <w:sz w:val="20"/>
          <w:szCs w:val="20"/>
        </w:rPr>
        <w:t xml:space="preserve">. </w:t>
      </w:r>
      <w:r w:rsidR="00DE766E" w:rsidRPr="008D6A2C">
        <w:rPr>
          <w:rFonts w:ascii="Titillium" w:hAnsi="Titillium" w:cs="Arial"/>
          <w:sz w:val="20"/>
          <w:szCs w:val="20"/>
        </w:rPr>
        <w:t xml:space="preserve">Od </w:t>
      </w:r>
      <w:r w:rsidR="00AE1573">
        <w:rPr>
          <w:rFonts w:ascii="Titillium" w:hAnsi="Titillium" w:cs="Arial"/>
          <w:sz w:val="20"/>
          <w:szCs w:val="20"/>
        </w:rPr>
        <w:t xml:space="preserve">je dospjelo 6,46 EUR </w:t>
      </w:r>
      <w:r w:rsidR="00DE766E" w:rsidRPr="008D6A2C">
        <w:rPr>
          <w:rFonts w:ascii="Titillium" w:hAnsi="Titillium" w:cs="Arial"/>
          <w:sz w:val="20"/>
          <w:szCs w:val="20"/>
        </w:rPr>
        <w:t>(V007)</w:t>
      </w:r>
      <w:r w:rsidR="0087279A" w:rsidRPr="008D6A2C">
        <w:rPr>
          <w:rFonts w:ascii="Titillium" w:hAnsi="Titillium" w:cs="Arial"/>
          <w:sz w:val="20"/>
          <w:szCs w:val="20"/>
        </w:rPr>
        <w:t xml:space="preserve"> a nedospjele obveze iskazane na </w:t>
      </w:r>
      <w:r w:rsidR="00DE766E" w:rsidRPr="008D6A2C">
        <w:rPr>
          <w:rFonts w:ascii="Titillium" w:hAnsi="Titillium" w:cs="Arial"/>
          <w:sz w:val="20"/>
          <w:szCs w:val="20"/>
        </w:rPr>
        <w:t xml:space="preserve">V009 iznosile su </w:t>
      </w:r>
      <w:r w:rsidR="00AE1573">
        <w:rPr>
          <w:rFonts w:ascii="Titillium" w:hAnsi="Titillium" w:cs="Arial"/>
          <w:sz w:val="20"/>
          <w:szCs w:val="20"/>
        </w:rPr>
        <w:t>109.657,41</w:t>
      </w:r>
      <w:r w:rsidR="009E4C10">
        <w:rPr>
          <w:rFonts w:ascii="Titillium" w:hAnsi="Titillium" w:cs="Arial"/>
          <w:sz w:val="20"/>
          <w:szCs w:val="20"/>
        </w:rPr>
        <w:t xml:space="preserve"> EUR</w:t>
      </w:r>
      <w:r w:rsidR="00804BB8" w:rsidRPr="008D6A2C">
        <w:rPr>
          <w:rFonts w:ascii="Titillium" w:hAnsi="Titillium" w:cs="Arial"/>
          <w:sz w:val="20"/>
          <w:szCs w:val="20"/>
        </w:rPr>
        <w:t>.</w:t>
      </w:r>
      <w:r w:rsidR="00DE766E" w:rsidRPr="008D6A2C">
        <w:rPr>
          <w:rFonts w:ascii="Titillium" w:hAnsi="Titillium" w:cs="Arial"/>
          <w:sz w:val="20"/>
          <w:szCs w:val="20"/>
        </w:rPr>
        <w:t xml:space="preserve"> </w:t>
      </w:r>
      <w:r w:rsidR="00C25DA6">
        <w:rPr>
          <w:rFonts w:ascii="Titillium" w:hAnsi="Titillium" w:cs="Arial"/>
          <w:sz w:val="20"/>
          <w:szCs w:val="20"/>
        </w:rPr>
        <w:t xml:space="preserve">Dospjele obveze </w:t>
      </w:r>
      <w:r w:rsidR="000A7BFC">
        <w:rPr>
          <w:rFonts w:ascii="Titillium" w:hAnsi="Titillium" w:cs="Arial"/>
          <w:sz w:val="20"/>
          <w:szCs w:val="20"/>
        </w:rPr>
        <w:t>podmirene su početkom 2025.</w:t>
      </w:r>
    </w:p>
    <w:p w:rsidR="006507A4" w:rsidRPr="008D6A2C" w:rsidRDefault="006507A4" w:rsidP="00F85BA7">
      <w:pPr>
        <w:spacing w:after="0"/>
        <w:rPr>
          <w:rFonts w:ascii="Titillium" w:hAnsi="Titillium" w:cs="Arial"/>
          <w:sz w:val="20"/>
          <w:szCs w:val="20"/>
        </w:rPr>
      </w:pPr>
    </w:p>
    <w:p w:rsidR="0014176D" w:rsidRDefault="00F85BA7" w:rsidP="00D52E3A">
      <w:pPr>
        <w:spacing w:after="0"/>
        <w:rPr>
          <w:rFonts w:ascii="Titillium" w:hAnsi="Titillium" w:cs="Arial"/>
          <w:sz w:val="20"/>
          <w:szCs w:val="20"/>
        </w:rPr>
      </w:pPr>
      <w:r w:rsidRPr="008D6A2C">
        <w:rPr>
          <w:rFonts w:ascii="Titillium" w:hAnsi="Titillium" w:cs="Arial"/>
          <w:sz w:val="20"/>
          <w:szCs w:val="20"/>
        </w:rPr>
        <w:t xml:space="preserve">Zagreb, </w:t>
      </w:r>
      <w:r w:rsidR="00723F76">
        <w:rPr>
          <w:rFonts w:ascii="Titillium" w:hAnsi="Titillium" w:cs="Arial"/>
          <w:sz w:val="20"/>
          <w:szCs w:val="20"/>
        </w:rPr>
        <w:t>31.01.2025.</w:t>
      </w:r>
    </w:p>
    <w:p w:rsidR="0014176D" w:rsidRDefault="0014176D" w:rsidP="00D52E3A">
      <w:pPr>
        <w:spacing w:after="0"/>
        <w:rPr>
          <w:rFonts w:ascii="Titillium" w:hAnsi="Titillium" w:cs="Arial"/>
          <w:sz w:val="20"/>
          <w:szCs w:val="20"/>
        </w:rPr>
      </w:pPr>
    </w:p>
    <w:p w:rsidR="0014176D" w:rsidRDefault="0014176D" w:rsidP="00D52E3A">
      <w:pPr>
        <w:spacing w:after="0"/>
        <w:rPr>
          <w:rFonts w:ascii="Titillium" w:hAnsi="Titillium" w:cs="Arial"/>
          <w:sz w:val="20"/>
          <w:szCs w:val="20"/>
        </w:rPr>
      </w:pPr>
    </w:p>
    <w:p w:rsidR="00F85BA7" w:rsidRDefault="00F85BA7" w:rsidP="0014176D">
      <w:pPr>
        <w:spacing w:after="0"/>
        <w:jc w:val="right"/>
        <w:rPr>
          <w:rFonts w:ascii="Titillium" w:hAnsi="Titillium" w:cs="Arial"/>
          <w:sz w:val="20"/>
          <w:szCs w:val="20"/>
        </w:rPr>
      </w:pPr>
      <w:r w:rsidRPr="008D6A2C">
        <w:rPr>
          <w:rFonts w:ascii="Titillium" w:hAnsi="Titillium" w:cs="Arial"/>
          <w:sz w:val="20"/>
          <w:szCs w:val="20"/>
        </w:rPr>
        <w:t>Ravnateljica Instituta:</w:t>
      </w:r>
    </w:p>
    <w:p w:rsidR="0059299F" w:rsidRPr="008D6A2C" w:rsidRDefault="0059299F" w:rsidP="0014176D">
      <w:pPr>
        <w:spacing w:after="0"/>
        <w:jc w:val="right"/>
        <w:rPr>
          <w:rFonts w:ascii="Titillium" w:hAnsi="Titillium" w:cs="Arial"/>
          <w:sz w:val="20"/>
          <w:szCs w:val="20"/>
        </w:rPr>
      </w:pPr>
    </w:p>
    <w:p w:rsidR="006337AA" w:rsidRPr="008D6A2C" w:rsidRDefault="006337AA" w:rsidP="00024F26">
      <w:pPr>
        <w:spacing w:after="0"/>
        <w:jc w:val="right"/>
        <w:rPr>
          <w:rFonts w:ascii="Titillium" w:hAnsi="Titillium" w:cs="Arial"/>
          <w:sz w:val="20"/>
          <w:szCs w:val="20"/>
        </w:rPr>
      </w:pPr>
    </w:p>
    <w:p w:rsidR="00FF5C23" w:rsidRPr="00A16AAB" w:rsidRDefault="002C5F0A" w:rsidP="003356C9">
      <w:pPr>
        <w:spacing w:after="0"/>
        <w:jc w:val="right"/>
        <w:rPr>
          <w:rFonts w:ascii="Titillium" w:hAnsi="Titillium"/>
          <w:sz w:val="20"/>
          <w:szCs w:val="20"/>
        </w:rPr>
      </w:pPr>
      <w:r w:rsidRPr="008D6A2C">
        <w:rPr>
          <w:rFonts w:ascii="Titillium" w:hAnsi="Titillium" w:cs="Arial"/>
          <w:sz w:val="20"/>
          <w:szCs w:val="20"/>
        </w:rPr>
        <w:t>Prof.</w:t>
      </w:r>
      <w:r w:rsidR="00F85BA7" w:rsidRPr="008D6A2C">
        <w:rPr>
          <w:rFonts w:ascii="Titillium" w:hAnsi="Titillium" w:cs="Arial"/>
          <w:sz w:val="20"/>
          <w:szCs w:val="20"/>
        </w:rPr>
        <w:t>dr.sc. Ana Lu</w:t>
      </w:r>
      <w:r w:rsidR="00F85BA7" w:rsidRPr="00A16AAB">
        <w:rPr>
          <w:rFonts w:ascii="Titillium" w:hAnsi="Titillium" w:cs="Arial"/>
          <w:sz w:val="20"/>
          <w:szCs w:val="20"/>
        </w:rPr>
        <w:t xml:space="preserve">cić Vrdoljak, </w:t>
      </w:r>
      <w:proofErr w:type="spellStart"/>
      <w:r w:rsidR="00F85BA7" w:rsidRPr="00A16AAB">
        <w:rPr>
          <w:rFonts w:ascii="Titillium" w:hAnsi="Titillium" w:cs="Arial"/>
          <w:sz w:val="20"/>
          <w:szCs w:val="20"/>
        </w:rPr>
        <w:t>dipl.ing.med.biokem</w:t>
      </w:r>
      <w:proofErr w:type="spellEnd"/>
      <w:r w:rsidR="00F85BA7" w:rsidRPr="00A16AAB">
        <w:rPr>
          <w:rFonts w:ascii="Titillium" w:hAnsi="Titillium" w:cs="Arial"/>
          <w:sz w:val="20"/>
          <w:szCs w:val="20"/>
        </w:rPr>
        <w:t>.</w:t>
      </w:r>
    </w:p>
    <w:sectPr w:rsidR="00FF5C23" w:rsidRPr="00A16A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3EF" w:rsidRDefault="00AC03EF" w:rsidP="006173D9">
      <w:pPr>
        <w:spacing w:after="0" w:line="240" w:lineRule="auto"/>
      </w:pPr>
      <w:r>
        <w:separator/>
      </w:r>
    </w:p>
  </w:endnote>
  <w:endnote w:type="continuationSeparator" w:id="0">
    <w:p w:rsidR="00AC03EF" w:rsidRDefault="00AC03EF" w:rsidP="0061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Calligraph-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tillium Lt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903" w:rsidRPr="00A10971" w:rsidRDefault="001F2903" w:rsidP="00A10971">
    <w:pPr>
      <w:pStyle w:val="BasicParagraph"/>
      <w:tabs>
        <w:tab w:val="center" w:pos="58"/>
        <w:tab w:val="left" w:pos="212"/>
        <w:tab w:val="left" w:pos="382"/>
      </w:tabs>
      <w:suppressAutoHyphens/>
      <w:rPr>
        <w:rFonts w:ascii="Titillium" w:hAnsi="Titillium" w:cs="Titillium Lt"/>
        <w:color w:val="656565"/>
        <w:spacing w:val="3"/>
        <w:sz w:val="17"/>
        <w:szCs w:val="17"/>
        <w:lang w:val="hr-HR"/>
      </w:rPr>
    </w:pPr>
    <w:r w:rsidRPr="00A10971">
      <w:rPr>
        <w:rFonts w:ascii="Titillium" w:hAnsi="Titillium"/>
        <w:color w:val="31849B"/>
        <w:sz w:val="14"/>
        <w:szCs w:val="16"/>
        <w:lang w:val="hr-HR"/>
      </w:rPr>
      <w:t>T</w:t>
    </w:r>
    <w:r w:rsidRPr="00A10971">
      <w:rPr>
        <w:rFonts w:ascii="Titillium" w:hAnsi="Titillium"/>
        <w:color w:val="31849B"/>
        <w:sz w:val="14"/>
        <w:szCs w:val="16"/>
        <w:lang w:val="hr-HR"/>
      </w:rPr>
      <w:tab/>
    </w:r>
    <w:r w:rsidRPr="00A10971">
      <w:rPr>
        <w:rFonts w:ascii="Titillium Lt" w:hAnsi="Titillium Lt" w:cs="Titillium Lt"/>
        <w:color w:val="656565"/>
        <w:spacing w:val="3"/>
        <w:sz w:val="17"/>
        <w:szCs w:val="17"/>
        <w:lang w:val="hr-HR"/>
      </w:rPr>
      <w:t xml:space="preserve">+385 01 </w:t>
    </w:r>
    <w:r>
      <w:rPr>
        <w:rFonts w:ascii="Titillium Lt" w:hAnsi="Titillium Lt" w:cs="Titillium Lt"/>
        <w:color w:val="656565"/>
        <w:spacing w:val="3"/>
        <w:sz w:val="17"/>
        <w:szCs w:val="17"/>
        <w:lang w:val="hr-HR"/>
      </w:rPr>
      <w:t>4682</w:t>
    </w:r>
    <w:r w:rsidRPr="00A10971">
      <w:rPr>
        <w:rFonts w:ascii="Titillium Lt" w:hAnsi="Titillium Lt" w:cs="Titillium Lt"/>
        <w:color w:val="656565"/>
        <w:spacing w:val="3"/>
        <w:sz w:val="17"/>
        <w:szCs w:val="17"/>
        <w:lang w:val="hr-HR"/>
      </w:rPr>
      <w:t xml:space="preserve"> </w:t>
    </w:r>
    <w:r>
      <w:rPr>
        <w:rFonts w:ascii="Titillium Lt" w:hAnsi="Titillium Lt" w:cs="Titillium Lt"/>
        <w:color w:val="656565"/>
        <w:spacing w:val="3"/>
        <w:sz w:val="17"/>
        <w:szCs w:val="17"/>
        <w:lang w:val="hr-HR"/>
      </w:rPr>
      <w:t>500</w:t>
    </w:r>
    <w:r w:rsidRPr="00A10971">
      <w:rPr>
        <w:rFonts w:ascii="Titillium Lt" w:hAnsi="Titillium Lt" w:cs="Titillium Lt"/>
        <w:color w:val="656565"/>
        <w:spacing w:val="3"/>
        <w:sz w:val="14"/>
        <w:szCs w:val="17"/>
        <w:lang w:val="hr-HR"/>
      </w:rPr>
      <w:t xml:space="preserve"> </w:t>
    </w:r>
  </w:p>
  <w:p w:rsidR="001F2903" w:rsidRPr="00A10971" w:rsidRDefault="001F2903" w:rsidP="00A10971">
    <w:pPr>
      <w:pStyle w:val="BasicParagraph"/>
      <w:tabs>
        <w:tab w:val="center" w:pos="58"/>
        <w:tab w:val="left" w:pos="212"/>
        <w:tab w:val="left" w:pos="382"/>
      </w:tabs>
      <w:suppressAutoHyphens/>
      <w:rPr>
        <w:rFonts w:ascii="Titillium" w:hAnsi="Titillium" w:cs="Titillium Lt"/>
        <w:color w:val="656565"/>
        <w:spacing w:val="3"/>
        <w:sz w:val="17"/>
        <w:szCs w:val="17"/>
        <w:lang w:val="hr-HR"/>
      </w:rPr>
    </w:pPr>
    <w:r w:rsidRPr="00A10971">
      <w:rPr>
        <w:rFonts w:ascii="Titillium" w:hAnsi="Titillium"/>
        <w:color w:val="31849B"/>
        <w:sz w:val="14"/>
        <w:szCs w:val="16"/>
        <w:lang w:val="hr-HR"/>
      </w:rPr>
      <w:t>E</w:t>
    </w:r>
    <w:r w:rsidRPr="00A10971">
      <w:rPr>
        <w:rFonts w:ascii="Titillium" w:hAnsi="Titillium"/>
        <w:color w:val="31849B"/>
        <w:sz w:val="14"/>
        <w:szCs w:val="16"/>
        <w:lang w:val="hr-HR"/>
      </w:rPr>
      <w:tab/>
    </w:r>
    <w:r>
      <w:rPr>
        <w:rFonts w:ascii="Titillium Lt" w:hAnsi="Titillium Lt" w:cs="Titillium Lt"/>
        <w:color w:val="656565"/>
        <w:spacing w:val="3"/>
        <w:sz w:val="17"/>
        <w:szCs w:val="17"/>
        <w:lang w:val="hr-HR"/>
      </w:rPr>
      <w:t>uprava</w:t>
    </w:r>
    <w:r w:rsidRPr="00A10971">
      <w:rPr>
        <w:rFonts w:ascii="Titillium Lt" w:hAnsi="Titillium Lt" w:cs="Titillium Lt"/>
        <w:color w:val="656565"/>
        <w:spacing w:val="3"/>
        <w:sz w:val="17"/>
        <w:szCs w:val="17"/>
        <w:lang w:val="hr-HR"/>
      </w:rPr>
      <w:t>@imi.hr</w:t>
    </w:r>
  </w:p>
  <w:p w:rsidR="001F2903" w:rsidRPr="00A10971" w:rsidRDefault="001F2903" w:rsidP="00A10971">
    <w:pPr>
      <w:pStyle w:val="BasicParagraph"/>
      <w:tabs>
        <w:tab w:val="center" w:pos="58"/>
        <w:tab w:val="left" w:pos="212"/>
        <w:tab w:val="left" w:pos="382"/>
      </w:tabs>
      <w:suppressAutoHyphens/>
      <w:rPr>
        <w:rFonts w:ascii="Titillium Lt" w:hAnsi="Titillium Lt" w:cs="Titillium Lt"/>
        <w:spacing w:val="3"/>
        <w:sz w:val="17"/>
        <w:szCs w:val="17"/>
        <w:lang w:val="hr-HR"/>
      </w:rPr>
    </w:pPr>
    <w:r w:rsidRPr="00A10971">
      <w:rPr>
        <w:rFonts w:ascii="Titillium" w:hAnsi="Titillium"/>
        <w:color w:val="31849B"/>
        <w:sz w:val="14"/>
        <w:szCs w:val="16"/>
        <w:lang w:val="hr-HR"/>
      </w:rPr>
      <w:t>A</w:t>
    </w:r>
    <w:r w:rsidRPr="00A10971">
      <w:rPr>
        <w:sz w:val="14"/>
        <w:szCs w:val="16"/>
        <w:lang w:val="hr-HR"/>
      </w:rPr>
      <w:tab/>
    </w:r>
    <w:r w:rsidRPr="00A10971">
      <w:rPr>
        <w:rFonts w:ascii="Titillium Lt" w:hAnsi="Titillium Lt" w:cs="Titillium Lt"/>
        <w:color w:val="656565"/>
        <w:spacing w:val="3"/>
        <w:sz w:val="17"/>
        <w:szCs w:val="17"/>
        <w:lang w:val="hr-HR"/>
      </w:rPr>
      <w:t xml:space="preserve">Ksaverska cesta 2, 10 001 Zagreb </w:t>
    </w:r>
  </w:p>
  <w:p w:rsidR="001F2903" w:rsidRPr="00A10971" w:rsidRDefault="001F2903" w:rsidP="00A10971">
    <w:pPr>
      <w:tabs>
        <w:tab w:val="center" w:pos="58"/>
        <w:tab w:val="left" w:pos="212"/>
        <w:tab w:val="left" w:pos="382"/>
      </w:tabs>
      <w:suppressAutoHyphens/>
      <w:autoSpaceDE w:val="0"/>
      <w:autoSpaceDN w:val="0"/>
      <w:adjustRightInd w:val="0"/>
      <w:spacing w:after="0" w:line="288" w:lineRule="auto"/>
      <w:textAlignment w:val="center"/>
      <w:rPr>
        <w:rFonts w:ascii="Titillium Lt" w:hAnsi="Titillium Lt" w:cs="Titillium Lt"/>
        <w:color w:val="000000"/>
        <w:spacing w:val="3"/>
        <w:sz w:val="17"/>
        <w:szCs w:val="17"/>
      </w:rPr>
    </w:pPr>
    <w:r w:rsidRPr="00A10971">
      <w:rPr>
        <w:rFonts w:ascii="Titillium Lt" w:hAnsi="Titillium Lt" w:cs="Titillium Lt"/>
        <w:color w:val="000000"/>
        <w:spacing w:val="3"/>
        <w:sz w:val="17"/>
        <w:szCs w:val="17"/>
      </w:rPr>
      <w:tab/>
      <w:t xml:space="preserve">   </w:t>
    </w:r>
    <w:r w:rsidRPr="00A10971">
      <w:rPr>
        <w:rFonts w:ascii="Titillium Lt" w:hAnsi="Titillium Lt" w:cs="Titillium Lt"/>
        <w:color w:val="000000"/>
        <w:spacing w:val="3"/>
        <w:sz w:val="17"/>
        <w:szCs w:val="17"/>
      </w:rPr>
      <w:tab/>
    </w:r>
    <w:r w:rsidRPr="00A10971">
      <w:rPr>
        <w:rFonts w:ascii="Titillium Lt" w:hAnsi="Titillium Lt" w:cs="Titillium Lt"/>
        <w:color w:val="656565"/>
        <w:spacing w:val="3"/>
        <w:sz w:val="17"/>
        <w:szCs w:val="17"/>
      </w:rPr>
      <w:t xml:space="preserve">PO </w:t>
    </w:r>
    <w:proofErr w:type="spellStart"/>
    <w:r w:rsidRPr="00A10971">
      <w:rPr>
        <w:rFonts w:ascii="Titillium Lt" w:hAnsi="Titillium Lt" w:cs="Titillium Lt"/>
        <w:color w:val="656565"/>
        <w:spacing w:val="3"/>
        <w:sz w:val="17"/>
        <w:szCs w:val="17"/>
      </w:rPr>
      <w:t>Box</w:t>
    </w:r>
    <w:proofErr w:type="spellEnd"/>
    <w:r w:rsidRPr="00A10971">
      <w:rPr>
        <w:rFonts w:ascii="Titillium Lt" w:hAnsi="Titillium Lt" w:cs="Titillium Lt"/>
        <w:color w:val="656565"/>
        <w:spacing w:val="3"/>
        <w:sz w:val="17"/>
        <w:szCs w:val="17"/>
      </w:rPr>
      <w:t xml:space="preserve"> 291, Croatia</w:t>
    </w:r>
  </w:p>
  <w:p w:rsidR="001F2903" w:rsidRDefault="001F2903" w:rsidP="00B86D8B">
    <w:pPr>
      <w:pStyle w:val="Footer"/>
      <w:spacing w:after="120"/>
      <w:rPr>
        <w:rStyle w:val="Hyperlink"/>
        <w:rFonts w:ascii="Titillium Lt" w:hAnsi="Titillium Lt" w:cs="Titillium Lt"/>
        <w:spacing w:val="3"/>
        <w:sz w:val="17"/>
        <w:szCs w:val="17"/>
      </w:rPr>
    </w:pPr>
    <w:r w:rsidRPr="00A10971">
      <w:rPr>
        <w:rFonts w:ascii="Titillium" w:hAnsi="Titillium"/>
        <w:color w:val="31849B"/>
        <w:sz w:val="14"/>
        <w:szCs w:val="16"/>
      </w:rPr>
      <w:t>W</w:t>
    </w:r>
    <w:r w:rsidRPr="00A10971">
      <w:rPr>
        <w:rFonts w:ascii="Titillium" w:hAnsi="Titillium"/>
        <w:sz w:val="14"/>
        <w:szCs w:val="16"/>
      </w:rPr>
      <w:t xml:space="preserve">  </w:t>
    </w:r>
    <w:hyperlink r:id="rId1" w:history="1">
      <w:r w:rsidRPr="001E1FE9">
        <w:rPr>
          <w:rStyle w:val="Hyperlink"/>
          <w:rFonts w:ascii="Titillium Lt" w:hAnsi="Titillium Lt" w:cs="Titillium Lt"/>
          <w:spacing w:val="3"/>
          <w:sz w:val="17"/>
          <w:szCs w:val="17"/>
        </w:rPr>
        <w:t>www.imi.hr</w:t>
      </w:r>
    </w:hyperlink>
  </w:p>
  <w:p w:rsidR="001F2903" w:rsidRPr="00DF11FA" w:rsidRDefault="001F2903" w:rsidP="00B86D8B">
    <w:pPr>
      <w:pStyle w:val="Footer"/>
      <w:spacing w:after="120"/>
      <w:rPr>
        <w:rFonts w:ascii="Titillium Lt" w:hAnsi="Titillium Lt" w:cs="Titillium Lt"/>
        <w:color w:val="656565"/>
        <w:spacing w:val="3"/>
        <w:sz w:val="17"/>
        <w:szCs w:val="17"/>
      </w:rPr>
    </w:pPr>
    <w:r w:rsidRPr="00DF11FA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BA8ED7" wp14:editId="0806C3AC">
              <wp:simplePos x="0" y="0"/>
              <wp:positionH relativeFrom="column">
                <wp:posOffset>1196340</wp:posOffset>
              </wp:positionH>
              <wp:positionV relativeFrom="paragraph">
                <wp:posOffset>8700770</wp:posOffset>
              </wp:positionV>
              <wp:extent cx="1986915" cy="97282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6915" cy="972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F2903" w:rsidRPr="00152339" w:rsidRDefault="001F2903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T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+385 01 6310 843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4"/>
                              <w:szCs w:val="17"/>
                            </w:rPr>
                            <w:t xml:space="preserve"> </w:t>
                          </w:r>
                        </w:p>
                        <w:p w:rsidR="001F2903" w:rsidRPr="00152339" w:rsidRDefault="001F2903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E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info@imi.hr</w:t>
                          </w:r>
                        </w:p>
                        <w:p w:rsidR="001F2903" w:rsidRPr="0021783E" w:rsidRDefault="001F2903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 Lt" w:hAnsi="Titillium Lt" w:cs="Titillium Lt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A</w:t>
                          </w:r>
                          <w:r>
                            <w:rPr>
                              <w:sz w:val="14"/>
                              <w:szCs w:val="16"/>
                            </w:rPr>
                            <w:tab/>
                          </w:r>
                          <w:proofErr w:type="spellStart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Ksaverska</w:t>
                          </w:r>
                          <w:proofErr w:type="spellEnd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cesta</w:t>
                          </w:r>
                          <w:proofErr w:type="spellEnd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 xml:space="preserve"> 2, 10 001 Zagreb </w:t>
                          </w:r>
                        </w:p>
                        <w:p w:rsidR="001F2903" w:rsidRDefault="001F2903" w:rsidP="00A10971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  <w:t xml:space="preserve">   </w:t>
                          </w: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</w:r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>PO Box 291, Croatia</w:t>
                          </w:r>
                        </w:p>
                        <w:p w:rsidR="001F2903" w:rsidRPr="0021783E" w:rsidRDefault="001F2903" w:rsidP="00A10971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Titillium" w:hAnsi="Titillium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W</w:t>
                          </w:r>
                          <w:r w:rsidRPr="0021783E">
                            <w:rPr>
                              <w:rFonts w:ascii="Titillium" w:hAnsi="Titillium"/>
                              <w:sz w:val="14"/>
                              <w:szCs w:val="16"/>
                            </w:rPr>
                            <w:tab/>
                            <w:t xml:space="preserve"> 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www.imi.hr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BA8E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4.2pt;margin-top:685.1pt;width:156.45pt;height:7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" filled="f" stroked="f" strokeweight=".5pt">
              <v:textbox>
                <w:txbxContent>
                  <w:p w:rsidR="001F2903" w:rsidRPr="00152339" w:rsidRDefault="001F2903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T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+385 01 6310 843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4"/>
                        <w:szCs w:val="17"/>
                      </w:rPr>
                      <w:t xml:space="preserve"> </w:t>
                    </w:r>
                  </w:p>
                  <w:p w:rsidR="001F2903" w:rsidRPr="00152339" w:rsidRDefault="001F2903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E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info@imi.hr</w:t>
                    </w:r>
                  </w:p>
                  <w:p w:rsidR="001F2903" w:rsidRPr="0021783E" w:rsidRDefault="001F2903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 Lt" w:hAnsi="Titillium Lt" w:cs="Titillium Lt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A</w:t>
                    </w:r>
                    <w:r>
                      <w:rPr>
                        <w:sz w:val="14"/>
                        <w:szCs w:val="16"/>
                      </w:rPr>
                      <w:tab/>
                    </w:r>
                    <w:proofErr w:type="spellStart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Ksaverska</w:t>
                    </w:r>
                    <w:proofErr w:type="spellEnd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cesta</w:t>
                    </w:r>
                    <w:proofErr w:type="spellEnd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 xml:space="preserve"> 2, 10 001 Zagreb </w:t>
                    </w:r>
                  </w:p>
                  <w:p w:rsidR="001F2903" w:rsidRDefault="001F2903" w:rsidP="00A10971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  <w:t xml:space="preserve">   </w:t>
                    </w: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</w:r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en-US"/>
                      </w:rPr>
                      <w:t>PO Box 291, Croatia</w:t>
                    </w:r>
                  </w:p>
                  <w:p w:rsidR="001F2903" w:rsidRPr="0021783E" w:rsidRDefault="001F2903" w:rsidP="00A10971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Titillium" w:hAnsi="Titillium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W</w:t>
                    </w:r>
                    <w:r w:rsidRPr="0021783E">
                      <w:rPr>
                        <w:rFonts w:ascii="Titillium" w:hAnsi="Titillium"/>
                        <w:sz w:val="14"/>
                        <w:szCs w:val="16"/>
                      </w:rPr>
                      <w:tab/>
                      <w:t xml:space="preserve"> 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www.imi.hr</w:t>
                    </w:r>
                  </w:p>
                </w:txbxContent>
              </v:textbox>
            </v:shape>
          </w:pict>
        </mc:Fallback>
      </mc:AlternateContent>
    </w:r>
    <w:r w:rsidRPr="00DF11F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8D50BD" wp14:editId="765F1F6D">
              <wp:simplePos x="0" y="0"/>
              <wp:positionH relativeFrom="column">
                <wp:posOffset>1196340</wp:posOffset>
              </wp:positionH>
              <wp:positionV relativeFrom="paragraph">
                <wp:posOffset>8700770</wp:posOffset>
              </wp:positionV>
              <wp:extent cx="1986915" cy="97282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6915" cy="972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F2903" w:rsidRPr="00152339" w:rsidRDefault="001F2903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T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+385 01 6310 843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4"/>
                              <w:szCs w:val="17"/>
                            </w:rPr>
                            <w:t xml:space="preserve"> </w:t>
                          </w:r>
                        </w:p>
                        <w:p w:rsidR="001F2903" w:rsidRPr="00152339" w:rsidRDefault="001F2903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E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info@imi.hr</w:t>
                          </w:r>
                        </w:p>
                        <w:p w:rsidR="001F2903" w:rsidRPr="0021783E" w:rsidRDefault="001F2903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 Lt" w:hAnsi="Titillium Lt" w:cs="Titillium Lt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A</w:t>
                          </w:r>
                          <w:r>
                            <w:rPr>
                              <w:sz w:val="14"/>
                              <w:szCs w:val="16"/>
                            </w:rPr>
                            <w:tab/>
                          </w:r>
                          <w:proofErr w:type="spellStart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Ksaverska</w:t>
                          </w:r>
                          <w:proofErr w:type="spellEnd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cesta</w:t>
                          </w:r>
                          <w:proofErr w:type="spellEnd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 xml:space="preserve"> 2, 10 001 Zagreb </w:t>
                          </w:r>
                        </w:p>
                        <w:p w:rsidR="001F2903" w:rsidRDefault="001F2903" w:rsidP="00A10971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  <w:t xml:space="preserve">   </w:t>
                          </w: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</w:r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>PO Box 291, Croatia</w:t>
                          </w:r>
                        </w:p>
                        <w:p w:rsidR="001F2903" w:rsidRPr="0021783E" w:rsidRDefault="001F2903" w:rsidP="00A10971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Titillium" w:hAnsi="Titillium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W</w:t>
                          </w:r>
                          <w:r w:rsidRPr="0021783E">
                            <w:rPr>
                              <w:rFonts w:ascii="Titillium" w:hAnsi="Titillium"/>
                              <w:sz w:val="14"/>
                              <w:szCs w:val="16"/>
                            </w:rPr>
                            <w:tab/>
                            <w:t xml:space="preserve"> 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www.imi.hr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8D50BD" id="_x0000_s1027" type="#_x0000_t202" style="position:absolute;margin-left:94.2pt;margin-top:685.1pt;width:156.45pt;height:7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" filled="f" stroked="f" strokeweight=".5pt">
              <v:textbox>
                <w:txbxContent>
                  <w:p w:rsidR="001F2903" w:rsidRPr="00152339" w:rsidRDefault="001F2903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T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+385 01 6310 843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4"/>
                        <w:szCs w:val="17"/>
                      </w:rPr>
                      <w:t xml:space="preserve"> </w:t>
                    </w:r>
                  </w:p>
                  <w:p w:rsidR="001F2903" w:rsidRPr="00152339" w:rsidRDefault="001F2903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E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info@imi.hr</w:t>
                    </w:r>
                  </w:p>
                  <w:p w:rsidR="001F2903" w:rsidRPr="0021783E" w:rsidRDefault="001F2903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 Lt" w:hAnsi="Titillium Lt" w:cs="Titillium Lt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A</w:t>
                    </w:r>
                    <w:r>
                      <w:rPr>
                        <w:sz w:val="14"/>
                        <w:szCs w:val="16"/>
                      </w:rPr>
                      <w:tab/>
                    </w:r>
                    <w:proofErr w:type="spellStart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Ksaverska</w:t>
                    </w:r>
                    <w:proofErr w:type="spellEnd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cesta</w:t>
                    </w:r>
                    <w:proofErr w:type="spellEnd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 xml:space="preserve"> 2, 10 001 Zagreb </w:t>
                    </w:r>
                  </w:p>
                  <w:p w:rsidR="001F2903" w:rsidRDefault="001F2903" w:rsidP="00A10971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  <w:t xml:space="preserve">   </w:t>
                    </w: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</w:r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en-US"/>
                      </w:rPr>
                      <w:t>PO Box 291, Croatia</w:t>
                    </w:r>
                  </w:p>
                  <w:p w:rsidR="001F2903" w:rsidRPr="0021783E" w:rsidRDefault="001F2903" w:rsidP="00A10971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Titillium" w:hAnsi="Titillium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W</w:t>
                    </w:r>
                    <w:r w:rsidRPr="0021783E">
                      <w:rPr>
                        <w:rFonts w:ascii="Titillium" w:hAnsi="Titillium"/>
                        <w:sz w:val="14"/>
                        <w:szCs w:val="16"/>
                      </w:rPr>
                      <w:tab/>
                      <w:t xml:space="preserve"> 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www.imi.hr</w:t>
                    </w:r>
                  </w:p>
                </w:txbxContent>
              </v:textbox>
            </v:shape>
          </w:pict>
        </mc:Fallback>
      </mc:AlternateContent>
    </w:r>
    <w:r w:rsidRPr="00DF11FA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457E5A" wp14:editId="170D0FF3">
              <wp:simplePos x="0" y="0"/>
              <wp:positionH relativeFrom="column">
                <wp:posOffset>1196340</wp:posOffset>
              </wp:positionH>
              <wp:positionV relativeFrom="paragraph">
                <wp:posOffset>8700770</wp:posOffset>
              </wp:positionV>
              <wp:extent cx="1986915" cy="97282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6915" cy="972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F2903" w:rsidRPr="00152339" w:rsidRDefault="001F2903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T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+385 01 6310 843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4"/>
                              <w:szCs w:val="17"/>
                            </w:rPr>
                            <w:t xml:space="preserve"> </w:t>
                          </w:r>
                        </w:p>
                        <w:p w:rsidR="001F2903" w:rsidRPr="00152339" w:rsidRDefault="001F2903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E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info@imi.hr</w:t>
                          </w:r>
                        </w:p>
                        <w:p w:rsidR="001F2903" w:rsidRPr="0021783E" w:rsidRDefault="001F2903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 Lt" w:hAnsi="Titillium Lt" w:cs="Titillium Lt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A</w:t>
                          </w:r>
                          <w:r>
                            <w:rPr>
                              <w:sz w:val="14"/>
                              <w:szCs w:val="16"/>
                            </w:rPr>
                            <w:tab/>
                          </w:r>
                          <w:proofErr w:type="spellStart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Ksaverska</w:t>
                          </w:r>
                          <w:proofErr w:type="spellEnd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cesta</w:t>
                          </w:r>
                          <w:proofErr w:type="spellEnd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 xml:space="preserve"> 2, 10 001 Zagreb </w:t>
                          </w:r>
                        </w:p>
                        <w:p w:rsidR="001F2903" w:rsidRDefault="001F2903" w:rsidP="00A10971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  <w:t xml:space="preserve">   </w:t>
                          </w: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</w:r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>PO Box 291, Croatia</w:t>
                          </w:r>
                        </w:p>
                        <w:p w:rsidR="001F2903" w:rsidRPr="0021783E" w:rsidRDefault="001F2903" w:rsidP="00A10971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Titillium" w:hAnsi="Titillium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W</w:t>
                          </w:r>
                          <w:r w:rsidRPr="0021783E">
                            <w:rPr>
                              <w:rFonts w:ascii="Titillium" w:hAnsi="Titillium"/>
                              <w:sz w:val="14"/>
                              <w:szCs w:val="16"/>
                            </w:rPr>
                            <w:tab/>
                            <w:t xml:space="preserve"> 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www.imi.hr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457E5A" id="_x0000_s1028" type="#_x0000_t202" style="position:absolute;margin-left:94.2pt;margin-top:685.1pt;width:156.45pt;height:7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" filled="f" stroked="f" strokeweight=".5pt">
              <v:textbox>
                <w:txbxContent>
                  <w:p w:rsidR="001F2903" w:rsidRPr="00152339" w:rsidRDefault="001F2903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T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+385 01 6310 843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4"/>
                        <w:szCs w:val="17"/>
                      </w:rPr>
                      <w:t xml:space="preserve"> </w:t>
                    </w:r>
                  </w:p>
                  <w:p w:rsidR="001F2903" w:rsidRPr="00152339" w:rsidRDefault="001F2903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E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info@imi.hr</w:t>
                    </w:r>
                  </w:p>
                  <w:p w:rsidR="001F2903" w:rsidRPr="0021783E" w:rsidRDefault="001F2903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 Lt" w:hAnsi="Titillium Lt" w:cs="Titillium Lt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A</w:t>
                    </w:r>
                    <w:r>
                      <w:rPr>
                        <w:sz w:val="14"/>
                        <w:szCs w:val="16"/>
                      </w:rPr>
                      <w:tab/>
                    </w:r>
                    <w:proofErr w:type="spellStart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Ksaverska</w:t>
                    </w:r>
                    <w:proofErr w:type="spellEnd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cesta</w:t>
                    </w:r>
                    <w:proofErr w:type="spellEnd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 xml:space="preserve"> 2, 10 001 Zagreb </w:t>
                    </w:r>
                  </w:p>
                  <w:p w:rsidR="001F2903" w:rsidRDefault="001F2903" w:rsidP="00A10971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  <w:t xml:space="preserve">   </w:t>
                    </w: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</w:r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en-US"/>
                      </w:rPr>
                      <w:t>PO Box 291, Croatia</w:t>
                    </w:r>
                  </w:p>
                  <w:p w:rsidR="001F2903" w:rsidRPr="0021783E" w:rsidRDefault="001F2903" w:rsidP="00A10971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Titillium" w:hAnsi="Titillium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W</w:t>
                    </w:r>
                    <w:r w:rsidRPr="0021783E">
                      <w:rPr>
                        <w:rFonts w:ascii="Titillium" w:hAnsi="Titillium"/>
                        <w:sz w:val="14"/>
                        <w:szCs w:val="16"/>
                      </w:rPr>
                      <w:tab/>
                      <w:t xml:space="preserve"> 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www.imi.hr</w:t>
                    </w:r>
                  </w:p>
                </w:txbxContent>
              </v:textbox>
            </v:shape>
          </w:pict>
        </mc:Fallback>
      </mc:AlternateContent>
    </w:r>
    <w:r w:rsidRPr="00DF11FA">
      <w:rPr>
        <w:rStyle w:val="Hyperlink"/>
        <w:rFonts w:ascii="Titillium Lt" w:hAnsi="Titillium Lt" w:cs="Titillium Lt"/>
        <w:spacing w:val="3"/>
        <w:sz w:val="17"/>
        <w:szCs w:val="17"/>
        <w:u w:val="none"/>
      </w:rPr>
      <w:t>OIB 30285469659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3EF" w:rsidRDefault="00AC03EF" w:rsidP="006173D9">
      <w:pPr>
        <w:spacing w:after="0" w:line="240" w:lineRule="auto"/>
      </w:pPr>
      <w:r>
        <w:separator/>
      </w:r>
    </w:p>
  </w:footnote>
  <w:footnote w:type="continuationSeparator" w:id="0">
    <w:p w:rsidR="00AC03EF" w:rsidRDefault="00AC03EF" w:rsidP="00617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903" w:rsidRDefault="001F2903" w:rsidP="00232126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3160395" cy="1572895"/>
          <wp:effectExtent l="0" t="0" r="1905" b="8255"/>
          <wp:docPr id="2" name="Picture 1" descr="Z:\Vizualni identitet\Znakovi\JPG\znak i logo Boja dvojezic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Vizualni identitet\Znakovi\JPG\znak i logo Boja dvojezic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0395" cy="157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148F8"/>
    <w:multiLevelType w:val="hybridMultilevel"/>
    <w:tmpl w:val="46E06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03F20"/>
    <w:multiLevelType w:val="hybridMultilevel"/>
    <w:tmpl w:val="01160614"/>
    <w:lvl w:ilvl="0" w:tplc="95545A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B04C3"/>
    <w:multiLevelType w:val="hybridMultilevel"/>
    <w:tmpl w:val="D2C42CC8"/>
    <w:lvl w:ilvl="0" w:tplc="0809000F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11EC47AD"/>
    <w:multiLevelType w:val="hybridMultilevel"/>
    <w:tmpl w:val="05B6547E"/>
    <w:lvl w:ilvl="0" w:tplc="95545A0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E472BE"/>
    <w:multiLevelType w:val="hybridMultilevel"/>
    <w:tmpl w:val="390E4158"/>
    <w:lvl w:ilvl="0" w:tplc="95545A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D31E4"/>
    <w:multiLevelType w:val="hybridMultilevel"/>
    <w:tmpl w:val="C3DC729C"/>
    <w:lvl w:ilvl="0" w:tplc="95545A0E">
      <w:start w:val="1"/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766743C"/>
    <w:multiLevelType w:val="hybridMultilevel"/>
    <w:tmpl w:val="B8DC4B8C"/>
    <w:lvl w:ilvl="0" w:tplc="0809000F">
      <w:start w:val="1"/>
      <w:numFmt w:val="decimal"/>
      <w:lvlText w:val="%1."/>
      <w:lvlJc w:val="left"/>
      <w:pPr>
        <w:ind w:left="766" w:hanging="360"/>
      </w:pPr>
    </w:lvl>
    <w:lvl w:ilvl="1" w:tplc="08090019" w:tentative="1">
      <w:start w:val="1"/>
      <w:numFmt w:val="lowerLetter"/>
      <w:lvlText w:val="%2."/>
      <w:lvlJc w:val="left"/>
      <w:pPr>
        <w:ind w:left="1486" w:hanging="360"/>
      </w:pPr>
    </w:lvl>
    <w:lvl w:ilvl="2" w:tplc="0809001B" w:tentative="1">
      <w:start w:val="1"/>
      <w:numFmt w:val="lowerRoman"/>
      <w:lvlText w:val="%3."/>
      <w:lvlJc w:val="right"/>
      <w:pPr>
        <w:ind w:left="2206" w:hanging="180"/>
      </w:pPr>
    </w:lvl>
    <w:lvl w:ilvl="3" w:tplc="0809000F" w:tentative="1">
      <w:start w:val="1"/>
      <w:numFmt w:val="decimal"/>
      <w:lvlText w:val="%4."/>
      <w:lvlJc w:val="left"/>
      <w:pPr>
        <w:ind w:left="2926" w:hanging="360"/>
      </w:pPr>
    </w:lvl>
    <w:lvl w:ilvl="4" w:tplc="08090019" w:tentative="1">
      <w:start w:val="1"/>
      <w:numFmt w:val="lowerLetter"/>
      <w:lvlText w:val="%5."/>
      <w:lvlJc w:val="left"/>
      <w:pPr>
        <w:ind w:left="3646" w:hanging="360"/>
      </w:pPr>
    </w:lvl>
    <w:lvl w:ilvl="5" w:tplc="0809001B" w:tentative="1">
      <w:start w:val="1"/>
      <w:numFmt w:val="lowerRoman"/>
      <w:lvlText w:val="%6."/>
      <w:lvlJc w:val="right"/>
      <w:pPr>
        <w:ind w:left="4366" w:hanging="180"/>
      </w:pPr>
    </w:lvl>
    <w:lvl w:ilvl="6" w:tplc="0809000F" w:tentative="1">
      <w:start w:val="1"/>
      <w:numFmt w:val="decimal"/>
      <w:lvlText w:val="%7."/>
      <w:lvlJc w:val="left"/>
      <w:pPr>
        <w:ind w:left="5086" w:hanging="360"/>
      </w:pPr>
    </w:lvl>
    <w:lvl w:ilvl="7" w:tplc="08090019" w:tentative="1">
      <w:start w:val="1"/>
      <w:numFmt w:val="lowerLetter"/>
      <w:lvlText w:val="%8."/>
      <w:lvlJc w:val="left"/>
      <w:pPr>
        <w:ind w:left="5806" w:hanging="360"/>
      </w:pPr>
    </w:lvl>
    <w:lvl w:ilvl="8" w:tplc="08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7" w15:restartNumberingAfterBreak="0">
    <w:nsid w:val="39C2193F"/>
    <w:multiLevelType w:val="hybridMultilevel"/>
    <w:tmpl w:val="94425278"/>
    <w:lvl w:ilvl="0" w:tplc="041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39FA62CF"/>
    <w:multiLevelType w:val="hybridMultilevel"/>
    <w:tmpl w:val="E1CA8BC8"/>
    <w:lvl w:ilvl="0" w:tplc="95545A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B5D7A"/>
    <w:multiLevelType w:val="hybridMultilevel"/>
    <w:tmpl w:val="CC184D9E"/>
    <w:lvl w:ilvl="0" w:tplc="95545A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57C52"/>
    <w:multiLevelType w:val="hybridMultilevel"/>
    <w:tmpl w:val="5B4E199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DF253B"/>
    <w:multiLevelType w:val="hybridMultilevel"/>
    <w:tmpl w:val="0CE03586"/>
    <w:lvl w:ilvl="0" w:tplc="95545A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D486F"/>
    <w:multiLevelType w:val="hybridMultilevel"/>
    <w:tmpl w:val="420EA40E"/>
    <w:lvl w:ilvl="0" w:tplc="95545A0E">
      <w:start w:val="1"/>
      <w:numFmt w:val="bullet"/>
      <w:lvlText w:val="-"/>
      <w:lvlJc w:val="left"/>
      <w:pPr>
        <w:ind w:left="76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61C216AD"/>
    <w:multiLevelType w:val="hybridMultilevel"/>
    <w:tmpl w:val="5DAE5AF0"/>
    <w:lvl w:ilvl="0" w:tplc="95545A0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4A225C"/>
    <w:multiLevelType w:val="hybridMultilevel"/>
    <w:tmpl w:val="A716745A"/>
    <w:lvl w:ilvl="0" w:tplc="95545A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A5159"/>
    <w:multiLevelType w:val="hybridMultilevel"/>
    <w:tmpl w:val="2A2AFBD8"/>
    <w:lvl w:ilvl="0" w:tplc="95545A0E">
      <w:start w:val="1"/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6E9C2541"/>
    <w:multiLevelType w:val="hybridMultilevel"/>
    <w:tmpl w:val="C4AEBA86"/>
    <w:lvl w:ilvl="0" w:tplc="95545A0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9E4A46"/>
    <w:multiLevelType w:val="hybridMultilevel"/>
    <w:tmpl w:val="5F9C59B6"/>
    <w:lvl w:ilvl="0" w:tplc="95545A0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D34799"/>
    <w:multiLevelType w:val="hybridMultilevel"/>
    <w:tmpl w:val="F21245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9"/>
  </w:num>
  <w:num w:numId="5">
    <w:abstractNumId w:val="18"/>
  </w:num>
  <w:num w:numId="6">
    <w:abstractNumId w:val="2"/>
  </w:num>
  <w:num w:numId="7">
    <w:abstractNumId w:val="6"/>
  </w:num>
  <w:num w:numId="8">
    <w:abstractNumId w:val="0"/>
  </w:num>
  <w:num w:numId="9">
    <w:abstractNumId w:val="14"/>
  </w:num>
  <w:num w:numId="10">
    <w:abstractNumId w:val="4"/>
  </w:num>
  <w:num w:numId="11">
    <w:abstractNumId w:val="15"/>
  </w:num>
  <w:num w:numId="12">
    <w:abstractNumId w:val="7"/>
  </w:num>
  <w:num w:numId="13">
    <w:abstractNumId w:val="12"/>
  </w:num>
  <w:num w:numId="14">
    <w:abstractNumId w:val="1"/>
  </w:num>
  <w:num w:numId="15">
    <w:abstractNumId w:val="17"/>
  </w:num>
  <w:num w:numId="16">
    <w:abstractNumId w:val="11"/>
  </w:num>
  <w:num w:numId="17">
    <w:abstractNumId w:val="10"/>
  </w:num>
  <w:num w:numId="18">
    <w:abstractNumId w:val="16"/>
  </w:num>
  <w:num w:numId="1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D9"/>
    <w:rsid w:val="00000B7E"/>
    <w:rsid w:val="0000505F"/>
    <w:rsid w:val="0000701A"/>
    <w:rsid w:val="00007212"/>
    <w:rsid w:val="000136B1"/>
    <w:rsid w:val="00015E4A"/>
    <w:rsid w:val="00016382"/>
    <w:rsid w:val="000165FD"/>
    <w:rsid w:val="000201AC"/>
    <w:rsid w:val="000210D8"/>
    <w:rsid w:val="00024F26"/>
    <w:rsid w:val="00044166"/>
    <w:rsid w:val="00044310"/>
    <w:rsid w:val="000449C6"/>
    <w:rsid w:val="000510DB"/>
    <w:rsid w:val="000521CD"/>
    <w:rsid w:val="000522A3"/>
    <w:rsid w:val="000560D5"/>
    <w:rsid w:val="0005723F"/>
    <w:rsid w:val="00061B52"/>
    <w:rsid w:val="000623F2"/>
    <w:rsid w:val="000702D3"/>
    <w:rsid w:val="00071B98"/>
    <w:rsid w:val="00073869"/>
    <w:rsid w:val="000760E7"/>
    <w:rsid w:val="00087013"/>
    <w:rsid w:val="00090EE6"/>
    <w:rsid w:val="000923DC"/>
    <w:rsid w:val="00092EC6"/>
    <w:rsid w:val="00095E23"/>
    <w:rsid w:val="000979ED"/>
    <w:rsid w:val="000A111C"/>
    <w:rsid w:val="000A3A35"/>
    <w:rsid w:val="000A5523"/>
    <w:rsid w:val="000A7BFC"/>
    <w:rsid w:val="000B1CD6"/>
    <w:rsid w:val="000B586A"/>
    <w:rsid w:val="000B5939"/>
    <w:rsid w:val="000C0D07"/>
    <w:rsid w:val="000C60C5"/>
    <w:rsid w:val="000C7A48"/>
    <w:rsid w:val="000E331B"/>
    <w:rsid w:val="000E56BC"/>
    <w:rsid w:val="000E6A68"/>
    <w:rsid w:val="000F02E9"/>
    <w:rsid w:val="000F39AB"/>
    <w:rsid w:val="000F46C3"/>
    <w:rsid w:val="000F4E90"/>
    <w:rsid w:val="000F6B03"/>
    <w:rsid w:val="0010162C"/>
    <w:rsid w:val="00106687"/>
    <w:rsid w:val="00113F9E"/>
    <w:rsid w:val="00121309"/>
    <w:rsid w:val="001230B5"/>
    <w:rsid w:val="001261F8"/>
    <w:rsid w:val="00132F61"/>
    <w:rsid w:val="00137AA3"/>
    <w:rsid w:val="0014176D"/>
    <w:rsid w:val="0014264E"/>
    <w:rsid w:val="0015061A"/>
    <w:rsid w:val="00153531"/>
    <w:rsid w:val="001547B7"/>
    <w:rsid w:val="001573BC"/>
    <w:rsid w:val="00173AC1"/>
    <w:rsid w:val="00176E28"/>
    <w:rsid w:val="001825D6"/>
    <w:rsid w:val="001852B8"/>
    <w:rsid w:val="0019132D"/>
    <w:rsid w:val="00191CD6"/>
    <w:rsid w:val="00192333"/>
    <w:rsid w:val="00192DDC"/>
    <w:rsid w:val="00195EAB"/>
    <w:rsid w:val="001966B2"/>
    <w:rsid w:val="00197CF0"/>
    <w:rsid w:val="001A0B21"/>
    <w:rsid w:val="001A0C9F"/>
    <w:rsid w:val="001A0CF2"/>
    <w:rsid w:val="001A1849"/>
    <w:rsid w:val="001A254C"/>
    <w:rsid w:val="001A48D2"/>
    <w:rsid w:val="001A5A50"/>
    <w:rsid w:val="001B0CEB"/>
    <w:rsid w:val="001B21E4"/>
    <w:rsid w:val="001B5667"/>
    <w:rsid w:val="001C078D"/>
    <w:rsid w:val="001C0B30"/>
    <w:rsid w:val="001C4141"/>
    <w:rsid w:val="001D7A8F"/>
    <w:rsid w:val="001E2D3A"/>
    <w:rsid w:val="001F04F8"/>
    <w:rsid w:val="001F1473"/>
    <w:rsid w:val="001F2903"/>
    <w:rsid w:val="001F727D"/>
    <w:rsid w:val="001F7592"/>
    <w:rsid w:val="00205534"/>
    <w:rsid w:val="0020695F"/>
    <w:rsid w:val="00207034"/>
    <w:rsid w:val="00207345"/>
    <w:rsid w:val="002110C1"/>
    <w:rsid w:val="002114DD"/>
    <w:rsid w:val="00211A4F"/>
    <w:rsid w:val="002149AE"/>
    <w:rsid w:val="00216C24"/>
    <w:rsid w:val="002204A8"/>
    <w:rsid w:val="00224791"/>
    <w:rsid w:val="00224CD9"/>
    <w:rsid w:val="00230147"/>
    <w:rsid w:val="0023052A"/>
    <w:rsid w:val="00232126"/>
    <w:rsid w:val="00232F3B"/>
    <w:rsid w:val="00233FE3"/>
    <w:rsid w:val="00236120"/>
    <w:rsid w:val="0023685F"/>
    <w:rsid w:val="00236F57"/>
    <w:rsid w:val="00241C95"/>
    <w:rsid w:val="00242078"/>
    <w:rsid w:val="0024553B"/>
    <w:rsid w:val="00247D6E"/>
    <w:rsid w:val="0025096A"/>
    <w:rsid w:val="00252169"/>
    <w:rsid w:val="00252FF8"/>
    <w:rsid w:val="00254153"/>
    <w:rsid w:val="002572DC"/>
    <w:rsid w:val="00257400"/>
    <w:rsid w:val="0026259B"/>
    <w:rsid w:val="00263DD3"/>
    <w:rsid w:val="00264D71"/>
    <w:rsid w:val="00266E72"/>
    <w:rsid w:val="002672B9"/>
    <w:rsid w:val="002719B6"/>
    <w:rsid w:val="00284E77"/>
    <w:rsid w:val="00285535"/>
    <w:rsid w:val="00286428"/>
    <w:rsid w:val="00291611"/>
    <w:rsid w:val="002919ED"/>
    <w:rsid w:val="00294F0C"/>
    <w:rsid w:val="0029602E"/>
    <w:rsid w:val="00296DB4"/>
    <w:rsid w:val="002974E7"/>
    <w:rsid w:val="002A0AA7"/>
    <w:rsid w:val="002A28D7"/>
    <w:rsid w:val="002A4DBD"/>
    <w:rsid w:val="002A4F04"/>
    <w:rsid w:val="002A6278"/>
    <w:rsid w:val="002B7C03"/>
    <w:rsid w:val="002C459F"/>
    <w:rsid w:val="002C5F0A"/>
    <w:rsid w:val="002C74BC"/>
    <w:rsid w:val="002D5B61"/>
    <w:rsid w:val="002E01E0"/>
    <w:rsid w:val="002E21C2"/>
    <w:rsid w:val="002E3910"/>
    <w:rsid w:val="002E3C80"/>
    <w:rsid w:val="002E3EC9"/>
    <w:rsid w:val="002E766C"/>
    <w:rsid w:val="002E7DED"/>
    <w:rsid w:val="002F0355"/>
    <w:rsid w:val="002F25BD"/>
    <w:rsid w:val="002F52A7"/>
    <w:rsid w:val="0030269E"/>
    <w:rsid w:val="00303107"/>
    <w:rsid w:val="003068BF"/>
    <w:rsid w:val="00307F39"/>
    <w:rsid w:val="003114F9"/>
    <w:rsid w:val="0031294D"/>
    <w:rsid w:val="00313EB2"/>
    <w:rsid w:val="0032249A"/>
    <w:rsid w:val="00324994"/>
    <w:rsid w:val="00325169"/>
    <w:rsid w:val="00326223"/>
    <w:rsid w:val="003306A2"/>
    <w:rsid w:val="0033132C"/>
    <w:rsid w:val="00334C35"/>
    <w:rsid w:val="003356C9"/>
    <w:rsid w:val="00341A8B"/>
    <w:rsid w:val="00345184"/>
    <w:rsid w:val="003458B5"/>
    <w:rsid w:val="0035254A"/>
    <w:rsid w:val="00353003"/>
    <w:rsid w:val="00353092"/>
    <w:rsid w:val="00360407"/>
    <w:rsid w:val="00362118"/>
    <w:rsid w:val="003643F3"/>
    <w:rsid w:val="003646A7"/>
    <w:rsid w:val="00365B28"/>
    <w:rsid w:val="003676E7"/>
    <w:rsid w:val="00372E3A"/>
    <w:rsid w:val="00373769"/>
    <w:rsid w:val="00373866"/>
    <w:rsid w:val="00374B65"/>
    <w:rsid w:val="00381FD2"/>
    <w:rsid w:val="0038322C"/>
    <w:rsid w:val="0038579C"/>
    <w:rsid w:val="0039042A"/>
    <w:rsid w:val="00391707"/>
    <w:rsid w:val="00391F60"/>
    <w:rsid w:val="0039473C"/>
    <w:rsid w:val="0039494F"/>
    <w:rsid w:val="00395845"/>
    <w:rsid w:val="003A73EC"/>
    <w:rsid w:val="003A7F0E"/>
    <w:rsid w:val="003B0194"/>
    <w:rsid w:val="003B0C35"/>
    <w:rsid w:val="003B4001"/>
    <w:rsid w:val="003B4565"/>
    <w:rsid w:val="003C2334"/>
    <w:rsid w:val="003C48B0"/>
    <w:rsid w:val="003C5E17"/>
    <w:rsid w:val="003C69CA"/>
    <w:rsid w:val="003D060A"/>
    <w:rsid w:val="003D2CF9"/>
    <w:rsid w:val="003D384D"/>
    <w:rsid w:val="003E0B81"/>
    <w:rsid w:val="003E2906"/>
    <w:rsid w:val="003E2A8A"/>
    <w:rsid w:val="003E4490"/>
    <w:rsid w:val="003E5138"/>
    <w:rsid w:val="003E6C10"/>
    <w:rsid w:val="003E7381"/>
    <w:rsid w:val="003F0201"/>
    <w:rsid w:val="003F1C22"/>
    <w:rsid w:val="003F7E34"/>
    <w:rsid w:val="0040205F"/>
    <w:rsid w:val="00404106"/>
    <w:rsid w:val="00404E4A"/>
    <w:rsid w:val="00413212"/>
    <w:rsid w:val="004143CB"/>
    <w:rsid w:val="0041737B"/>
    <w:rsid w:val="004201B6"/>
    <w:rsid w:val="004230D3"/>
    <w:rsid w:val="00431A38"/>
    <w:rsid w:val="00435CB3"/>
    <w:rsid w:val="004367B9"/>
    <w:rsid w:val="00440A02"/>
    <w:rsid w:val="00440AB1"/>
    <w:rsid w:val="00441C2B"/>
    <w:rsid w:val="004444FD"/>
    <w:rsid w:val="00444F65"/>
    <w:rsid w:val="00445D1C"/>
    <w:rsid w:val="004530E6"/>
    <w:rsid w:val="00454D0B"/>
    <w:rsid w:val="004608B4"/>
    <w:rsid w:val="00460E1F"/>
    <w:rsid w:val="0046163E"/>
    <w:rsid w:val="00466679"/>
    <w:rsid w:val="00470D7C"/>
    <w:rsid w:val="00471752"/>
    <w:rsid w:val="004717B9"/>
    <w:rsid w:val="00471A45"/>
    <w:rsid w:val="00471A77"/>
    <w:rsid w:val="004735BF"/>
    <w:rsid w:val="00473650"/>
    <w:rsid w:val="00474B7D"/>
    <w:rsid w:val="00474E0A"/>
    <w:rsid w:val="0047690B"/>
    <w:rsid w:val="00476D33"/>
    <w:rsid w:val="004777E4"/>
    <w:rsid w:val="004878D7"/>
    <w:rsid w:val="00490332"/>
    <w:rsid w:val="00490E53"/>
    <w:rsid w:val="004A6DEA"/>
    <w:rsid w:val="004B1C2D"/>
    <w:rsid w:val="004B5000"/>
    <w:rsid w:val="004B631A"/>
    <w:rsid w:val="004B637F"/>
    <w:rsid w:val="004B6A08"/>
    <w:rsid w:val="004B7ACB"/>
    <w:rsid w:val="004C1F47"/>
    <w:rsid w:val="004C722C"/>
    <w:rsid w:val="004C7A04"/>
    <w:rsid w:val="004C7B85"/>
    <w:rsid w:val="004C7FF1"/>
    <w:rsid w:val="004D1182"/>
    <w:rsid w:val="004D1B8D"/>
    <w:rsid w:val="004D1FE6"/>
    <w:rsid w:val="004D382F"/>
    <w:rsid w:val="004D38AF"/>
    <w:rsid w:val="004D404C"/>
    <w:rsid w:val="004E5B62"/>
    <w:rsid w:val="004E6C12"/>
    <w:rsid w:val="004F3636"/>
    <w:rsid w:val="004F42C8"/>
    <w:rsid w:val="004F6292"/>
    <w:rsid w:val="004F64AE"/>
    <w:rsid w:val="004F71FA"/>
    <w:rsid w:val="004F7C41"/>
    <w:rsid w:val="005016F9"/>
    <w:rsid w:val="005029E4"/>
    <w:rsid w:val="005059CC"/>
    <w:rsid w:val="005065DD"/>
    <w:rsid w:val="00516965"/>
    <w:rsid w:val="00524FEC"/>
    <w:rsid w:val="005318C5"/>
    <w:rsid w:val="0053315F"/>
    <w:rsid w:val="00534979"/>
    <w:rsid w:val="0053681E"/>
    <w:rsid w:val="00536FF6"/>
    <w:rsid w:val="00537C51"/>
    <w:rsid w:val="00542D00"/>
    <w:rsid w:val="00543777"/>
    <w:rsid w:val="00544556"/>
    <w:rsid w:val="00545009"/>
    <w:rsid w:val="00545F55"/>
    <w:rsid w:val="00547ED3"/>
    <w:rsid w:val="00554674"/>
    <w:rsid w:val="005563DB"/>
    <w:rsid w:val="0056160E"/>
    <w:rsid w:val="00564830"/>
    <w:rsid w:val="005746BA"/>
    <w:rsid w:val="005762C1"/>
    <w:rsid w:val="0058141D"/>
    <w:rsid w:val="00581546"/>
    <w:rsid w:val="005816B8"/>
    <w:rsid w:val="00583B3C"/>
    <w:rsid w:val="00585270"/>
    <w:rsid w:val="0058537E"/>
    <w:rsid w:val="00585BFD"/>
    <w:rsid w:val="005861FE"/>
    <w:rsid w:val="00586778"/>
    <w:rsid w:val="00586B82"/>
    <w:rsid w:val="00590349"/>
    <w:rsid w:val="005911A3"/>
    <w:rsid w:val="0059299F"/>
    <w:rsid w:val="00593384"/>
    <w:rsid w:val="00595C19"/>
    <w:rsid w:val="0059649B"/>
    <w:rsid w:val="005A49EC"/>
    <w:rsid w:val="005A5047"/>
    <w:rsid w:val="005A7588"/>
    <w:rsid w:val="005A75AC"/>
    <w:rsid w:val="005B2A49"/>
    <w:rsid w:val="005B2EFF"/>
    <w:rsid w:val="005B3CD4"/>
    <w:rsid w:val="005B4F8A"/>
    <w:rsid w:val="005C03D2"/>
    <w:rsid w:val="005C3859"/>
    <w:rsid w:val="005C4998"/>
    <w:rsid w:val="005C6505"/>
    <w:rsid w:val="005C6544"/>
    <w:rsid w:val="005C72EA"/>
    <w:rsid w:val="005D10EB"/>
    <w:rsid w:val="005D27C9"/>
    <w:rsid w:val="005D393B"/>
    <w:rsid w:val="005E3775"/>
    <w:rsid w:val="005E3D5B"/>
    <w:rsid w:val="005E6424"/>
    <w:rsid w:val="005F358D"/>
    <w:rsid w:val="005F37AA"/>
    <w:rsid w:val="005F6D3D"/>
    <w:rsid w:val="005F7ED7"/>
    <w:rsid w:val="006012B0"/>
    <w:rsid w:val="00601E14"/>
    <w:rsid w:val="006023C7"/>
    <w:rsid w:val="006043F5"/>
    <w:rsid w:val="00607117"/>
    <w:rsid w:val="0061021E"/>
    <w:rsid w:val="00611D15"/>
    <w:rsid w:val="00615B5C"/>
    <w:rsid w:val="006173D9"/>
    <w:rsid w:val="00623FE8"/>
    <w:rsid w:val="0062490B"/>
    <w:rsid w:val="00624C19"/>
    <w:rsid w:val="00624F9F"/>
    <w:rsid w:val="00625B1A"/>
    <w:rsid w:val="00626868"/>
    <w:rsid w:val="006337AA"/>
    <w:rsid w:val="006349FE"/>
    <w:rsid w:val="00635DB4"/>
    <w:rsid w:val="0064017C"/>
    <w:rsid w:val="00640C94"/>
    <w:rsid w:val="00641493"/>
    <w:rsid w:val="00641653"/>
    <w:rsid w:val="0064432C"/>
    <w:rsid w:val="006449CF"/>
    <w:rsid w:val="00645341"/>
    <w:rsid w:val="006475B5"/>
    <w:rsid w:val="006507A4"/>
    <w:rsid w:val="00651090"/>
    <w:rsid w:val="0065204C"/>
    <w:rsid w:val="00652CBE"/>
    <w:rsid w:val="006531D8"/>
    <w:rsid w:val="0065326B"/>
    <w:rsid w:val="00653BA4"/>
    <w:rsid w:val="00660F4F"/>
    <w:rsid w:val="00667914"/>
    <w:rsid w:val="00670DD1"/>
    <w:rsid w:val="0067382A"/>
    <w:rsid w:val="00682B15"/>
    <w:rsid w:val="006846D9"/>
    <w:rsid w:val="006869E6"/>
    <w:rsid w:val="006876BB"/>
    <w:rsid w:val="00695020"/>
    <w:rsid w:val="00695D83"/>
    <w:rsid w:val="006A1BB6"/>
    <w:rsid w:val="006A4045"/>
    <w:rsid w:val="006B006A"/>
    <w:rsid w:val="006B4A70"/>
    <w:rsid w:val="006B4B82"/>
    <w:rsid w:val="006B6BEB"/>
    <w:rsid w:val="006D02EC"/>
    <w:rsid w:val="006D0CB4"/>
    <w:rsid w:val="006D1B1D"/>
    <w:rsid w:val="006D5DAB"/>
    <w:rsid w:val="006D66CF"/>
    <w:rsid w:val="006D7382"/>
    <w:rsid w:val="006E1CA0"/>
    <w:rsid w:val="006E2A9C"/>
    <w:rsid w:val="006E4A9B"/>
    <w:rsid w:val="006F636D"/>
    <w:rsid w:val="006F68C6"/>
    <w:rsid w:val="006F7178"/>
    <w:rsid w:val="00705673"/>
    <w:rsid w:val="0070665A"/>
    <w:rsid w:val="00714826"/>
    <w:rsid w:val="00717F78"/>
    <w:rsid w:val="00720E48"/>
    <w:rsid w:val="00721751"/>
    <w:rsid w:val="00723F76"/>
    <w:rsid w:val="0072527E"/>
    <w:rsid w:val="00725CCE"/>
    <w:rsid w:val="007278FD"/>
    <w:rsid w:val="007306C5"/>
    <w:rsid w:val="007308FF"/>
    <w:rsid w:val="00734178"/>
    <w:rsid w:val="00735211"/>
    <w:rsid w:val="007414C3"/>
    <w:rsid w:val="007447AD"/>
    <w:rsid w:val="0074572F"/>
    <w:rsid w:val="007477A9"/>
    <w:rsid w:val="00750FC8"/>
    <w:rsid w:val="00752AF4"/>
    <w:rsid w:val="00754EE1"/>
    <w:rsid w:val="00756692"/>
    <w:rsid w:val="00760698"/>
    <w:rsid w:val="00762B86"/>
    <w:rsid w:val="0076497A"/>
    <w:rsid w:val="007655F6"/>
    <w:rsid w:val="00765658"/>
    <w:rsid w:val="0077062F"/>
    <w:rsid w:val="007722AB"/>
    <w:rsid w:val="00773FFB"/>
    <w:rsid w:val="00774D24"/>
    <w:rsid w:val="00775AFD"/>
    <w:rsid w:val="00780E04"/>
    <w:rsid w:val="00781453"/>
    <w:rsid w:val="0078222C"/>
    <w:rsid w:val="00783027"/>
    <w:rsid w:val="007832D1"/>
    <w:rsid w:val="00785CC6"/>
    <w:rsid w:val="00786102"/>
    <w:rsid w:val="00790242"/>
    <w:rsid w:val="007926DE"/>
    <w:rsid w:val="007947D2"/>
    <w:rsid w:val="00795D5F"/>
    <w:rsid w:val="007A02B0"/>
    <w:rsid w:val="007A17F5"/>
    <w:rsid w:val="007A240D"/>
    <w:rsid w:val="007A2BC9"/>
    <w:rsid w:val="007A5538"/>
    <w:rsid w:val="007A57C4"/>
    <w:rsid w:val="007A58EB"/>
    <w:rsid w:val="007A7800"/>
    <w:rsid w:val="007B1CE0"/>
    <w:rsid w:val="007C28DC"/>
    <w:rsid w:val="007C3B67"/>
    <w:rsid w:val="007D14AA"/>
    <w:rsid w:val="007D2C99"/>
    <w:rsid w:val="007D4011"/>
    <w:rsid w:val="007D774C"/>
    <w:rsid w:val="007E1707"/>
    <w:rsid w:val="007E19C4"/>
    <w:rsid w:val="007E51F7"/>
    <w:rsid w:val="007E72DA"/>
    <w:rsid w:val="007F1A5D"/>
    <w:rsid w:val="008022CE"/>
    <w:rsid w:val="00802603"/>
    <w:rsid w:val="00804BB8"/>
    <w:rsid w:val="008058A4"/>
    <w:rsid w:val="00814FAC"/>
    <w:rsid w:val="008167E4"/>
    <w:rsid w:val="00824502"/>
    <w:rsid w:val="0082574B"/>
    <w:rsid w:val="008265DA"/>
    <w:rsid w:val="00826C78"/>
    <w:rsid w:val="00827752"/>
    <w:rsid w:val="00827B31"/>
    <w:rsid w:val="00831B53"/>
    <w:rsid w:val="00836790"/>
    <w:rsid w:val="008368F1"/>
    <w:rsid w:val="0083720D"/>
    <w:rsid w:val="00842F2A"/>
    <w:rsid w:val="008430E6"/>
    <w:rsid w:val="00843878"/>
    <w:rsid w:val="00844EB6"/>
    <w:rsid w:val="00845EB4"/>
    <w:rsid w:val="00846354"/>
    <w:rsid w:val="008474A1"/>
    <w:rsid w:val="008476FE"/>
    <w:rsid w:val="00850C37"/>
    <w:rsid w:val="008519A7"/>
    <w:rsid w:val="00854206"/>
    <w:rsid w:val="00855987"/>
    <w:rsid w:val="0085669F"/>
    <w:rsid w:val="008625CF"/>
    <w:rsid w:val="00864ACE"/>
    <w:rsid w:val="0086532D"/>
    <w:rsid w:val="00871831"/>
    <w:rsid w:val="0087279A"/>
    <w:rsid w:val="00875748"/>
    <w:rsid w:val="00877F30"/>
    <w:rsid w:val="00880AAB"/>
    <w:rsid w:val="00880FFB"/>
    <w:rsid w:val="00883BCE"/>
    <w:rsid w:val="00884E1A"/>
    <w:rsid w:val="00885212"/>
    <w:rsid w:val="0088794C"/>
    <w:rsid w:val="008919B9"/>
    <w:rsid w:val="008A32C5"/>
    <w:rsid w:val="008A425F"/>
    <w:rsid w:val="008A5C51"/>
    <w:rsid w:val="008A6EAE"/>
    <w:rsid w:val="008B43F5"/>
    <w:rsid w:val="008B4697"/>
    <w:rsid w:val="008B7073"/>
    <w:rsid w:val="008B7395"/>
    <w:rsid w:val="008B787D"/>
    <w:rsid w:val="008C2D58"/>
    <w:rsid w:val="008C3A80"/>
    <w:rsid w:val="008C5DCD"/>
    <w:rsid w:val="008D0FEB"/>
    <w:rsid w:val="008D6A2C"/>
    <w:rsid w:val="008E0E7D"/>
    <w:rsid w:val="008E6CCA"/>
    <w:rsid w:val="008F0C99"/>
    <w:rsid w:val="008F6362"/>
    <w:rsid w:val="008F7532"/>
    <w:rsid w:val="00901554"/>
    <w:rsid w:val="00903304"/>
    <w:rsid w:val="00914913"/>
    <w:rsid w:val="0091649D"/>
    <w:rsid w:val="0092050C"/>
    <w:rsid w:val="00924C4E"/>
    <w:rsid w:val="009254ED"/>
    <w:rsid w:val="00930EB8"/>
    <w:rsid w:val="0093237B"/>
    <w:rsid w:val="009328AF"/>
    <w:rsid w:val="00932C9C"/>
    <w:rsid w:val="009348E3"/>
    <w:rsid w:val="00936151"/>
    <w:rsid w:val="00940204"/>
    <w:rsid w:val="009411DF"/>
    <w:rsid w:val="009440CD"/>
    <w:rsid w:val="00946A27"/>
    <w:rsid w:val="00950F53"/>
    <w:rsid w:val="009611FF"/>
    <w:rsid w:val="009619B5"/>
    <w:rsid w:val="00962623"/>
    <w:rsid w:val="00962F5F"/>
    <w:rsid w:val="00963A57"/>
    <w:rsid w:val="009642A7"/>
    <w:rsid w:val="00964A48"/>
    <w:rsid w:val="009658B1"/>
    <w:rsid w:val="009670F6"/>
    <w:rsid w:val="009704C4"/>
    <w:rsid w:val="009740E7"/>
    <w:rsid w:val="00974D38"/>
    <w:rsid w:val="00974FEC"/>
    <w:rsid w:val="00980D15"/>
    <w:rsid w:val="009865C5"/>
    <w:rsid w:val="0099155E"/>
    <w:rsid w:val="00991E6B"/>
    <w:rsid w:val="00994BB7"/>
    <w:rsid w:val="00996250"/>
    <w:rsid w:val="009A2711"/>
    <w:rsid w:val="009A44F2"/>
    <w:rsid w:val="009A53AC"/>
    <w:rsid w:val="009A5468"/>
    <w:rsid w:val="009A5CDE"/>
    <w:rsid w:val="009A798D"/>
    <w:rsid w:val="009B07A6"/>
    <w:rsid w:val="009B2EF1"/>
    <w:rsid w:val="009C0988"/>
    <w:rsid w:val="009C0C22"/>
    <w:rsid w:val="009C2008"/>
    <w:rsid w:val="009C4C2B"/>
    <w:rsid w:val="009C6DF9"/>
    <w:rsid w:val="009D3C51"/>
    <w:rsid w:val="009D4012"/>
    <w:rsid w:val="009D542F"/>
    <w:rsid w:val="009D718F"/>
    <w:rsid w:val="009E0C0F"/>
    <w:rsid w:val="009E4199"/>
    <w:rsid w:val="009E4C10"/>
    <w:rsid w:val="009F0CC9"/>
    <w:rsid w:val="009F3237"/>
    <w:rsid w:val="009F3BCE"/>
    <w:rsid w:val="009F3CC5"/>
    <w:rsid w:val="009F4F7F"/>
    <w:rsid w:val="00A02102"/>
    <w:rsid w:val="00A026A1"/>
    <w:rsid w:val="00A0427E"/>
    <w:rsid w:val="00A072FD"/>
    <w:rsid w:val="00A07F93"/>
    <w:rsid w:val="00A10971"/>
    <w:rsid w:val="00A13640"/>
    <w:rsid w:val="00A1368D"/>
    <w:rsid w:val="00A1391A"/>
    <w:rsid w:val="00A1686A"/>
    <w:rsid w:val="00A16AAB"/>
    <w:rsid w:val="00A16D67"/>
    <w:rsid w:val="00A205FB"/>
    <w:rsid w:val="00A25FA8"/>
    <w:rsid w:val="00A30766"/>
    <w:rsid w:val="00A33076"/>
    <w:rsid w:val="00A350FB"/>
    <w:rsid w:val="00A44402"/>
    <w:rsid w:val="00A45A4D"/>
    <w:rsid w:val="00A53D38"/>
    <w:rsid w:val="00A53DD6"/>
    <w:rsid w:val="00A54BD3"/>
    <w:rsid w:val="00A55A84"/>
    <w:rsid w:val="00A56221"/>
    <w:rsid w:val="00A5761C"/>
    <w:rsid w:val="00A6383B"/>
    <w:rsid w:val="00A647E1"/>
    <w:rsid w:val="00A66BC1"/>
    <w:rsid w:val="00A67511"/>
    <w:rsid w:val="00A67BB3"/>
    <w:rsid w:val="00A71054"/>
    <w:rsid w:val="00A758DB"/>
    <w:rsid w:val="00A76BD6"/>
    <w:rsid w:val="00A86D81"/>
    <w:rsid w:val="00A910E6"/>
    <w:rsid w:val="00A94961"/>
    <w:rsid w:val="00A957AA"/>
    <w:rsid w:val="00AA02AE"/>
    <w:rsid w:val="00AA4D7B"/>
    <w:rsid w:val="00AA6AEC"/>
    <w:rsid w:val="00AB3E79"/>
    <w:rsid w:val="00AB4044"/>
    <w:rsid w:val="00AB5D2C"/>
    <w:rsid w:val="00AB6D4F"/>
    <w:rsid w:val="00AB7389"/>
    <w:rsid w:val="00AC03EF"/>
    <w:rsid w:val="00AC32F8"/>
    <w:rsid w:val="00AC330B"/>
    <w:rsid w:val="00AD66BA"/>
    <w:rsid w:val="00AD6885"/>
    <w:rsid w:val="00AE1573"/>
    <w:rsid w:val="00AE1655"/>
    <w:rsid w:val="00AE1B0F"/>
    <w:rsid w:val="00AE5FFE"/>
    <w:rsid w:val="00AF0AE7"/>
    <w:rsid w:val="00AF3006"/>
    <w:rsid w:val="00AF535A"/>
    <w:rsid w:val="00AF5BAE"/>
    <w:rsid w:val="00B00896"/>
    <w:rsid w:val="00B00D36"/>
    <w:rsid w:val="00B00EB3"/>
    <w:rsid w:val="00B02282"/>
    <w:rsid w:val="00B0244C"/>
    <w:rsid w:val="00B067AA"/>
    <w:rsid w:val="00B06CD5"/>
    <w:rsid w:val="00B11A38"/>
    <w:rsid w:val="00B15C52"/>
    <w:rsid w:val="00B16F2F"/>
    <w:rsid w:val="00B16F5B"/>
    <w:rsid w:val="00B2629D"/>
    <w:rsid w:val="00B2644F"/>
    <w:rsid w:val="00B33D15"/>
    <w:rsid w:val="00B3468F"/>
    <w:rsid w:val="00B36696"/>
    <w:rsid w:val="00B368C0"/>
    <w:rsid w:val="00B36A6D"/>
    <w:rsid w:val="00B37199"/>
    <w:rsid w:val="00B378FF"/>
    <w:rsid w:val="00B41F76"/>
    <w:rsid w:val="00B5171E"/>
    <w:rsid w:val="00B51DB0"/>
    <w:rsid w:val="00B52B68"/>
    <w:rsid w:val="00B5596D"/>
    <w:rsid w:val="00B57B18"/>
    <w:rsid w:val="00B60020"/>
    <w:rsid w:val="00B63914"/>
    <w:rsid w:val="00B64B24"/>
    <w:rsid w:val="00B744EE"/>
    <w:rsid w:val="00B74502"/>
    <w:rsid w:val="00B77B5F"/>
    <w:rsid w:val="00B829DE"/>
    <w:rsid w:val="00B83F1D"/>
    <w:rsid w:val="00B8456B"/>
    <w:rsid w:val="00B86317"/>
    <w:rsid w:val="00B86D8B"/>
    <w:rsid w:val="00B86E55"/>
    <w:rsid w:val="00B8709C"/>
    <w:rsid w:val="00B93850"/>
    <w:rsid w:val="00B94D79"/>
    <w:rsid w:val="00BA098B"/>
    <w:rsid w:val="00BA332E"/>
    <w:rsid w:val="00BA58BA"/>
    <w:rsid w:val="00BA6C0C"/>
    <w:rsid w:val="00BB4CEB"/>
    <w:rsid w:val="00BC1D86"/>
    <w:rsid w:val="00BC3FCD"/>
    <w:rsid w:val="00BC46A3"/>
    <w:rsid w:val="00BC51CF"/>
    <w:rsid w:val="00BD21C2"/>
    <w:rsid w:val="00BD3185"/>
    <w:rsid w:val="00BD7817"/>
    <w:rsid w:val="00BD7BEA"/>
    <w:rsid w:val="00BE0AA9"/>
    <w:rsid w:val="00BF0807"/>
    <w:rsid w:val="00BF0D51"/>
    <w:rsid w:val="00BF4317"/>
    <w:rsid w:val="00BF4D55"/>
    <w:rsid w:val="00BF5399"/>
    <w:rsid w:val="00BF5AE0"/>
    <w:rsid w:val="00BF6DE0"/>
    <w:rsid w:val="00BF771C"/>
    <w:rsid w:val="00C014AE"/>
    <w:rsid w:val="00C0154C"/>
    <w:rsid w:val="00C017EA"/>
    <w:rsid w:val="00C01BD8"/>
    <w:rsid w:val="00C02D67"/>
    <w:rsid w:val="00C03F3D"/>
    <w:rsid w:val="00C060BC"/>
    <w:rsid w:val="00C11285"/>
    <w:rsid w:val="00C12ACF"/>
    <w:rsid w:val="00C14E3D"/>
    <w:rsid w:val="00C1573C"/>
    <w:rsid w:val="00C16B4C"/>
    <w:rsid w:val="00C172D1"/>
    <w:rsid w:val="00C223CE"/>
    <w:rsid w:val="00C23A94"/>
    <w:rsid w:val="00C245F2"/>
    <w:rsid w:val="00C25DA6"/>
    <w:rsid w:val="00C261AF"/>
    <w:rsid w:val="00C27545"/>
    <w:rsid w:val="00C3192C"/>
    <w:rsid w:val="00C32A63"/>
    <w:rsid w:val="00C33057"/>
    <w:rsid w:val="00C3372C"/>
    <w:rsid w:val="00C33883"/>
    <w:rsid w:val="00C34B0A"/>
    <w:rsid w:val="00C3665D"/>
    <w:rsid w:val="00C37762"/>
    <w:rsid w:val="00C4021E"/>
    <w:rsid w:val="00C431E5"/>
    <w:rsid w:val="00C5281F"/>
    <w:rsid w:val="00C52868"/>
    <w:rsid w:val="00C53A61"/>
    <w:rsid w:val="00C633B0"/>
    <w:rsid w:val="00C65EEC"/>
    <w:rsid w:val="00C71525"/>
    <w:rsid w:val="00C771EF"/>
    <w:rsid w:val="00C82791"/>
    <w:rsid w:val="00C8315F"/>
    <w:rsid w:val="00C835A2"/>
    <w:rsid w:val="00C85E90"/>
    <w:rsid w:val="00C87B8C"/>
    <w:rsid w:val="00C95741"/>
    <w:rsid w:val="00CA2E52"/>
    <w:rsid w:val="00CA44E6"/>
    <w:rsid w:val="00CB59D4"/>
    <w:rsid w:val="00CB65E7"/>
    <w:rsid w:val="00CB69FC"/>
    <w:rsid w:val="00CB7269"/>
    <w:rsid w:val="00CC03DD"/>
    <w:rsid w:val="00CC236B"/>
    <w:rsid w:val="00CC357A"/>
    <w:rsid w:val="00CC3B9E"/>
    <w:rsid w:val="00CC6831"/>
    <w:rsid w:val="00CD100F"/>
    <w:rsid w:val="00CD5391"/>
    <w:rsid w:val="00CD7C67"/>
    <w:rsid w:val="00CE0E89"/>
    <w:rsid w:val="00CE391F"/>
    <w:rsid w:val="00CE449D"/>
    <w:rsid w:val="00CE4E8D"/>
    <w:rsid w:val="00CF36F3"/>
    <w:rsid w:val="00CF6B97"/>
    <w:rsid w:val="00D00013"/>
    <w:rsid w:val="00D00B2A"/>
    <w:rsid w:val="00D02BC7"/>
    <w:rsid w:val="00D04338"/>
    <w:rsid w:val="00D053FD"/>
    <w:rsid w:val="00D06E02"/>
    <w:rsid w:val="00D1110C"/>
    <w:rsid w:val="00D11B1C"/>
    <w:rsid w:val="00D16990"/>
    <w:rsid w:val="00D17302"/>
    <w:rsid w:val="00D22976"/>
    <w:rsid w:val="00D2557B"/>
    <w:rsid w:val="00D25D13"/>
    <w:rsid w:val="00D27138"/>
    <w:rsid w:val="00D27181"/>
    <w:rsid w:val="00D2727D"/>
    <w:rsid w:val="00D30225"/>
    <w:rsid w:val="00D31158"/>
    <w:rsid w:val="00D321B2"/>
    <w:rsid w:val="00D33896"/>
    <w:rsid w:val="00D3527D"/>
    <w:rsid w:val="00D35916"/>
    <w:rsid w:val="00D36ACD"/>
    <w:rsid w:val="00D4301A"/>
    <w:rsid w:val="00D43090"/>
    <w:rsid w:val="00D4360A"/>
    <w:rsid w:val="00D448AD"/>
    <w:rsid w:val="00D50BED"/>
    <w:rsid w:val="00D515D2"/>
    <w:rsid w:val="00D52E3A"/>
    <w:rsid w:val="00D55E81"/>
    <w:rsid w:val="00D6431D"/>
    <w:rsid w:val="00D668C6"/>
    <w:rsid w:val="00D721C7"/>
    <w:rsid w:val="00D80DFA"/>
    <w:rsid w:val="00D82503"/>
    <w:rsid w:val="00D82E26"/>
    <w:rsid w:val="00D8652D"/>
    <w:rsid w:val="00D86E50"/>
    <w:rsid w:val="00D86FCF"/>
    <w:rsid w:val="00D92F21"/>
    <w:rsid w:val="00D9579E"/>
    <w:rsid w:val="00D95D4C"/>
    <w:rsid w:val="00D96C22"/>
    <w:rsid w:val="00D971B0"/>
    <w:rsid w:val="00DA00F0"/>
    <w:rsid w:val="00DA1576"/>
    <w:rsid w:val="00DA241C"/>
    <w:rsid w:val="00DA2CB3"/>
    <w:rsid w:val="00DA3168"/>
    <w:rsid w:val="00DA4383"/>
    <w:rsid w:val="00DA48CA"/>
    <w:rsid w:val="00DA5117"/>
    <w:rsid w:val="00DA7E69"/>
    <w:rsid w:val="00DB3F7B"/>
    <w:rsid w:val="00DC32C9"/>
    <w:rsid w:val="00DC528F"/>
    <w:rsid w:val="00DC5B17"/>
    <w:rsid w:val="00DC6DB1"/>
    <w:rsid w:val="00DC73DF"/>
    <w:rsid w:val="00DD1862"/>
    <w:rsid w:val="00DD542E"/>
    <w:rsid w:val="00DE71E2"/>
    <w:rsid w:val="00DE766E"/>
    <w:rsid w:val="00DF0473"/>
    <w:rsid w:val="00DF11FA"/>
    <w:rsid w:val="00DF4263"/>
    <w:rsid w:val="00E01B92"/>
    <w:rsid w:val="00E01FD6"/>
    <w:rsid w:val="00E0305E"/>
    <w:rsid w:val="00E04A73"/>
    <w:rsid w:val="00E12F51"/>
    <w:rsid w:val="00E13112"/>
    <w:rsid w:val="00E14135"/>
    <w:rsid w:val="00E20908"/>
    <w:rsid w:val="00E22187"/>
    <w:rsid w:val="00E2414C"/>
    <w:rsid w:val="00E246F1"/>
    <w:rsid w:val="00E33200"/>
    <w:rsid w:val="00E33472"/>
    <w:rsid w:val="00E3581A"/>
    <w:rsid w:val="00E35BD6"/>
    <w:rsid w:val="00E423BE"/>
    <w:rsid w:val="00E4374A"/>
    <w:rsid w:val="00E46EFB"/>
    <w:rsid w:val="00E53121"/>
    <w:rsid w:val="00E53B68"/>
    <w:rsid w:val="00E54964"/>
    <w:rsid w:val="00E557E1"/>
    <w:rsid w:val="00E57B3F"/>
    <w:rsid w:val="00E57E26"/>
    <w:rsid w:val="00E60076"/>
    <w:rsid w:val="00E61224"/>
    <w:rsid w:val="00E64A3D"/>
    <w:rsid w:val="00E7146D"/>
    <w:rsid w:val="00E7373D"/>
    <w:rsid w:val="00E751D0"/>
    <w:rsid w:val="00E81A66"/>
    <w:rsid w:val="00E83A1C"/>
    <w:rsid w:val="00E90797"/>
    <w:rsid w:val="00E936C0"/>
    <w:rsid w:val="00E93BF2"/>
    <w:rsid w:val="00E94FC6"/>
    <w:rsid w:val="00E972F9"/>
    <w:rsid w:val="00E97381"/>
    <w:rsid w:val="00E974EC"/>
    <w:rsid w:val="00EA1F06"/>
    <w:rsid w:val="00EA4FA5"/>
    <w:rsid w:val="00EA5205"/>
    <w:rsid w:val="00EA71F0"/>
    <w:rsid w:val="00EB021E"/>
    <w:rsid w:val="00EB1E21"/>
    <w:rsid w:val="00EB35B7"/>
    <w:rsid w:val="00EB3A07"/>
    <w:rsid w:val="00EB49EF"/>
    <w:rsid w:val="00EB4E11"/>
    <w:rsid w:val="00EB5324"/>
    <w:rsid w:val="00EB58FB"/>
    <w:rsid w:val="00EC3B8C"/>
    <w:rsid w:val="00EC5BEA"/>
    <w:rsid w:val="00ED2E90"/>
    <w:rsid w:val="00EE027F"/>
    <w:rsid w:val="00EE2A1F"/>
    <w:rsid w:val="00EE481D"/>
    <w:rsid w:val="00EE4B2E"/>
    <w:rsid w:val="00EF14C0"/>
    <w:rsid w:val="00EF221F"/>
    <w:rsid w:val="00EF4422"/>
    <w:rsid w:val="00EF4438"/>
    <w:rsid w:val="00EF4465"/>
    <w:rsid w:val="00EF56D7"/>
    <w:rsid w:val="00EF6E25"/>
    <w:rsid w:val="00EF7EEC"/>
    <w:rsid w:val="00EF7FF9"/>
    <w:rsid w:val="00F01AFB"/>
    <w:rsid w:val="00F02567"/>
    <w:rsid w:val="00F03DA3"/>
    <w:rsid w:val="00F05F5B"/>
    <w:rsid w:val="00F1387B"/>
    <w:rsid w:val="00F14EE3"/>
    <w:rsid w:val="00F2393A"/>
    <w:rsid w:val="00F24537"/>
    <w:rsid w:val="00F24E2B"/>
    <w:rsid w:val="00F25353"/>
    <w:rsid w:val="00F25658"/>
    <w:rsid w:val="00F3417D"/>
    <w:rsid w:val="00F347B2"/>
    <w:rsid w:val="00F34DF1"/>
    <w:rsid w:val="00F3550C"/>
    <w:rsid w:val="00F40560"/>
    <w:rsid w:val="00F41D4D"/>
    <w:rsid w:val="00F41E88"/>
    <w:rsid w:val="00F423AC"/>
    <w:rsid w:val="00F42E6E"/>
    <w:rsid w:val="00F431B7"/>
    <w:rsid w:val="00F53153"/>
    <w:rsid w:val="00F55DD2"/>
    <w:rsid w:val="00F56F0C"/>
    <w:rsid w:val="00F6141A"/>
    <w:rsid w:val="00F64121"/>
    <w:rsid w:val="00F66915"/>
    <w:rsid w:val="00F67909"/>
    <w:rsid w:val="00F719A7"/>
    <w:rsid w:val="00F74139"/>
    <w:rsid w:val="00F7469E"/>
    <w:rsid w:val="00F768CE"/>
    <w:rsid w:val="00F801BA"/>
    <w:rsid w:val="00F811BD"/>
    <w:rsid w:val="00F81E49"/>
    <w:rsid w:val="00F85BA7"/>
    <w:rsid w:val="00F91076"/>
    <w:rsid w:val="00FA5D8F"/>
    <w:rsid w:val="00FA6B11"/>
    <w:rsid w:val="00FB1E93"/>
    <w:rsid w:val="00FB2A38"/>
    <w:rsid w:val="00FB2E52"/>
    <w:rsid w:val="00FB5156"/>
    <w:rsid w:val="00FB770A"/>
    <w:rsid w:val="00FC0310"/>
    <w:rsid w:val="00FC0F7C"/>
    <w:rsid w:val="00FC1A3F"/>
    <w:rsid w:val="00FC3156"/>
    <w:rsid w:val="00FC78B3"/>
    <w:rsid w:val="00FD0876"/>
    <w:rsid w:val="00FD12F4"/>
    <w:rsid w:val="00FD38C8"/>
    <w:rsid w:val="00FD5F02"/>
    <w:rsid w:val="00FD69A6"/>
    <w:rsid w:val="00FE4EDD"/>
    <w:rsid w:val="00FE651B"/>
    <w:rsid w:val="00FF07FE"/>
    <w:rsid w:val="00FF13E3"/>
    <w:rsid w:val="00FF269F"/>
    <w:rsid w:val="00FF2B1D"/>
    <w:rsid w:val="00FF49F8"/>
    <w:rsid w:val="00FF5C23"/>
    <w:rsid w:val="00FF607A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5C08530-6422-44B0-8247-A7C5B248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tillium" w:eastAsia="Calibri" w:hAnsi="Titillium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0971"/>
    <w:pPr>
      <w:spacing w:after="200" w:line="276" w:lineRule="auto"/>
    </w:pPr>
    <w:rPr>
      <w:rFonts w:ascii="Calibri" w:hAnsi="Calibri"/>
      <w:sz w:val="22"/>
      <w:szCs w:val="22"/>
      <w:lang w:val="hr-HR" w:eastAsia="en-US"/>
    </w:rPr>
  </w:style>
  <w:style w:type="paragraph" w:styleId="Heading1">
    <w:name w:val="heading 1"/>
    <w:basedOn w:val="Normal"/>
    <w:next w:val="Normal"/>
    <w:link w:val="Heading1Char"/>
    <w:qFormat/>
    <w:rsid w:val="00404E4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color w:val="000000"/>
      <w:sz w:val="20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3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3D9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6173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3D9"/>
    <w:rPr>
      <w:sz w:val="22"/>
    </w:rPr>
  </w:style>
  <w:style w:type="paragraph" w:customStyle="1" w:styleId="BasicParagraph">
    <w:name w:val="[Basic Paragraph]"/>
    <w:basedOn w:val="Normal"/>
    <w:uiPriority w:val="99"/>
    <w:rsid w:val="00A1097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126"/>
    <w:rPr>
      <w:rFonts w:ascii="Tahoma" w:hAnsi="Tahoma" w:cs="Tahoma"/>
      <w:sz w:val="16"/>
      <w:szCs w:val="16"/>
      <w:lang w:val="hr-HR" w:eastAsia="en-US"/>
    </w:rPr>
  </w:style>
  <w:style w:type="character" w:customStyle="1" w:styleId="Heading1Char">
    <w:name w:val="Heading 1 Char"/>
    <w:basedOn w:val="DefaultParagraphFont"/>
    <w:link w:val="Heading1"/>
    <w:rsid w:val="00404E4A"/>
    <w:rPr>
      <w:rFonts w:ascii="Times New Roman" w:eastAsia="Times New Roman" w:hAnsi="Times New Roman"/>
      <w:b/>
      <w:bCs/>
      <w:color w:val="000000"/>
      <w:lang w:val="en-US" w:eastAsia="hr-HR"/>
    </w:rPr>
  </w:style>
  <w:style w:type="paragraph" w:customStyle="1" w:styleId="Style1">
    <w:name w:val="Style1"/>
    <w:basedOn w:val="Normal"/>
    <w:rsid w:val="00404E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RO_Calligraph-Italic" w:eastAsia="Times New Roman" w:hAnsi="CRO_Calligraph-Italic"/>
      <w:sz w:val="24"/>
      <w:szCs w:val="24"/>
      <w:lang w:val="en-US" w:eastAsia="hr-HR"/>
    </w:rPr>
  </w:style>
  <w:style w:type="paragraph" w:styleId="BodyText">
    <w:name w:val="Body Text"/>
    <w:basedOn w:val="Normal"/>
    <w:link w:val="BodyTextChar"/>
    <w:rsid w:val="00404E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0"/>
      <w:szCs w:val="20"/>
      <w:lang w:val="de-DE" w:eastAsia="hr-HR"/>
    </w:rPr>
  </w:style>
  <w:style w:type="character" w:customStyle="1" w:styleId="BodyTextChar">
    <w:name w:val="Body Text Char"/>
    <w:basedOn w:val="DefaultParagraphFont"/>
    <w:link w:val="BodyText"/>
    <w:rsid w:val="00404E4A"/>
    <w:rPr>
      <w:rFonts w:ascii="Times New Roman" w:eastAsia="Times New Roman" w:hAnsi="Times New Roman"/>
      <w:color w:val="000000"/>
      <w:lang w:val="de-DE" w:eastAsia="hr-HR"/>
    </w:rPr>
  </w:style>
  <w:style w:type="paragraph" w:styleId="BodyTextIndent">
    <w:name w:val="Body Text Indent"/>
    <w:basedOn w:val="Normal"/>
    <w:link w:val="BodyTextIndentChar"/>
    <w:rsid w:val="00404E4A"/>
    <w:pPr>
      <w:overflowPunct w:val="0"/>
      <w:autoSpaceDE w:val="0"/>
      <w:autoSpaceDN w:val="0"/>
      <w:adjustRightInd w:val="0"/>
      <w:spacing w:after="0" w:line="240" w:lineRule="auto"/>
      <w:ind w:firstLine="284"/>
      <w:textAlignment w:val="baseline"/>
    </w:pPr>
    <w:rPr>
      <w:rFonts w:ascii="Times New Roman" w:eastAsia="Times New Roman" w:hAnsi="Times New Roman"/>
      <w:sz w:val="20"/>
      <w:szCs w:val="20"/>
      <w:lang w:val="en-US" w:eastAsia="hr-HR"/>
    </w:rPr>
  </w:style>
  <w:style w:type="character" w:customStyle="1" w:styleId="BodyTextIndentChar">
    <w:name w:val="Body Text Indent Char"/>
    <w:basedOn w:val="DefaultParagraphFont"/>
    <w:link w:val="BodyTextIndent"/>
    <w:rsid w:val="00404E4A"/>
    <w:rPr>
      <w:rFonts w:ascii="Times New Roman" w:eastAsia="Times New Roman" w:hAnsi="Times New Roman"/>
      <w:lang w:val="en-US" w:eastAsia="hr-HR"/>
    </w:rPr>
  </w:style>
  <w:style w:type="table" w:styleId="TableGrid">
    <w:name w:val="Table Grid"/>
    <w:basedOn w:val="TableNormal"/>
    <w:rsid w:val="00404E4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5A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43F5"/>
    <w:pPr>
      <w:ind w:left="720"/>
      <w:contextualSpacing/>
    </w:pPr>
  </w:style>
  <w:style w:type="character" w:customStyle="1" w:styleId="st1">
    <w:name w:val="st1"/>
    <w:basedOn w:val="DefaultParagraphFont"/>
    <w:rsid w:val="00BF6DE0"/>
  </w:style>
  <w:style w:type="paragraph" w:customStyle="1" w:styleId="Default">
    <w:name w:val="Default"/>
    <w:rsid w:val="00850C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i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BDBEE-154D-4B0D-9612-2DDE6778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2957</Words>
  <Characters>16860</Characters>
  <Application>Microsoft Office Word</Application>
  <DocSecurity>4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Makso Herman</dc:creator>
  <cp:lastModifiedBy>Sanda Barbaric</cp:lastModifiedBy>
  <cp:revision>2</cp:revision>
  <cp:lastPrinted>2025-01-30T07:01:00Z</cp:lastPrinted>
  <dcterms:created xsi:type="dcterms:W3CDTF">2025-01-30T07:01:00Z</dcterms:created>
  <dcterms:modified xsi:type="dcterms:W3CDTF">2025-01-30T07:01:00Z</dcterms:modified>
</cp:coreProperties>
</file>