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BA7" w:rsidRPr="007A02B0" w:rsidRDefault="00F85BA7" w:rsidP="00F85BA7">
      <w:pPr>
        <w:spacing w:after="0"/>
        <w:ind w:right="-183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PRORAČUNSKI KORISNIK: INSTITUT ZA MEDICINSKA ISTRAŽIVANJA I MEDICINU RADA</w:t>
      </w:r>
    </w:p>
    <w:p w:rsidR="00F85BA7" w:rsidRPr="007A02B0" w:rsidRDefault="00F85BA7" w:rsidP="00F85BA7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RAZDJEL: 080 MINISTARSTVO ZNANOSTI I OBRAZOVANJA</w:t>
      </w:r>
    </w:p>
    <w:p w:rsidR="00F85BA7" w:rsidRPr="007A02B0" w:rsidRDefault="00F85BA7" w:rsidP="00F85BA7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RKP: 02959</w:t>
      </w:r>
    </w:p>
    <w:p w:rsidR="00F85BA7" w:rsidRPr="007A02B0" w:rsidRDefault="00F85BA7" w:rsidP="00F85BA7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OIB: 30285469659</w:t>
      </w:r>
    </w:p>
    <w:p w:rsidR="00F85BA7" w:rsidRPr="007A02B0" w:rsidRDefault="00F85BA7" w:rsidP="00F85BA7">
      <w:pPr>
        <w:spacing w:after="0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>ŠIFRA DJELATNOSTI: 7219</w:t>
      </w:r>
    </w:p>
    <w:p w:rsidR="00F85BA7" w:rsidRPr="007A02B0" w:rsidRDefault="00F85BA7" w:rsidP="00F85BA7">
      <w:pPr>
        <w:spacing w:after="0"/>
        <w:rPr>
          <w:rFonts w:ascii="Titillium" w:hAnsi="Titillium" w:cs="Arial"/>
        </w:rPr>
      </w:pPr>
      <w:r w:rsidRPr="007A02B0">
        <w:rPr>
          <w:rFonts w:ascii="Titillium" w:hAnsi="Titillium" w:cs="Arial"/>
          <w:b/>
        </w:rPr>
        <w:t>IBAN: HR6923600001101214035</w:t>
      </w:r>
    </w:p>
    <w:p w:rsidR="00F85BA7" w:rsidRPr="007A02B0" w:rsidRDefault="00F85BA7" w:rsidP="00F85BA7">
      <w:pPr>
        <w:spacing w:after="0"/>
        <w:rPr>
          <w:rFonts w:ascii="Titillium" w:hAnsi="Titillium" w:cs="Arial"/>
        </w:rPr>
      </w:pPr>
    </w:p>
    <w:p w:rsidR="002A4F04" w:rsidRPr="007A02B0" w:rsidRDefault="002A4F04" w:rsidP="00F85BA7">
      <w:pPr>
        <w:spacing w:after="0"/>
        <w:rPr>
          <w:rFonts w:ascii="Titillium" w:hAnsi="Titillium" w:cs="Arial"/>
        </w:rPr>
      </w:pPr>
    </w:p>
    <w:p w:rsidR="008519A7" w:rsidRPr="007A02B0" w:rsidRDefault="00F85BA7" w:rsidP="008519A7">
      <w:pPr>
        <w:spacing w:after="0"/>
        <w:jc w:val="center"/>
        <w:rPr>
          <w:rFonts w:ascii="Titillium" w:hAnsi="Titillium" w:cs="Arial"/>
          <w:b/>
        </w:rPr>
      </w:pPr>
      <w:r w:rsidRPr="007A02B0">
        <w:rPr>
          <w:rFonts w:ascii="Titillium" w:hAnsi="Titillium" w:cs="Arial"/>
          <w:b/>
        </w:rPr>
        <w:t xml:space="preserve">BILJEŠKE UZ </w:t>
      </w:r>
      <w:r w:rsidR="0023052A" w:rsidRPr="007A02B0">
        <w:rPr>
          <w:rFonts w:ascii="Titillium" w:hAnsi="Titillium" w:cs="Arial"/>
          <w:b/>
        </w:rPr>
        <w:t xml:space="preserve">FINANCIJSKE IZVJEŠTAJE </w:t>
      </w:r>
      <w:r w:rsidRPr="007A02B0">
        <w:rPr>
          <w:rFonts w:ascii="Titillium" w:hAnsi="Titillium" w:cs="Arial"/>
          <w:b/>
        </w:rPr>
        <w:t>ZA RAZDOBLJE I-</w:t>
      </w:r>
      <w:r w:rsidR="009E0C0F">
        <w:rPr>
          <w:rFonts w:ascii="Titillium" w:hAnsi="Titillium" w:cs="Arial"/>
          <w:b/>
        </w:rPr>
        <w:t>X</w:t>
      </w:r>
      <w:r w:rsidR="00F768CE">
        <w:rPr>
          <w:rFonts w:ascii="Titillium" w:hAnsi="Titillium" w:cs="Arial"/>
          <w:b/>
        </w:rPr>
        <w:t>II</w:t>
      </w:r>
      <w:r w:rsidR="004D1B8D" w:rsidRPr="007A02B0">
        <w:rPr>
          <w:rFonts w:ascii="Titillium" w:hAnsi="Titillium" w:cs="Arial"/>
          <w:b/>
        </w:rPr>
        <w:t xml:space="preserve"> </w:t>
      </w:r>
      <w:r w:rsidRPr="007A02B0">
        <w:rPr>
          <w:rFonts w:ascii="Titillium" w:hAnsi="Titillium" w:cs="Arial"/>
          <w:b/>
        </w:rPr>
        <w:t>20</w:t>
      </w:r>
      <w:r w:rsidR="00365B28" w:rsidRPr="007A02B0">
        <w:rPr>
          <w:rFonts w:ascii="Titillium" w:hAnsi="Titillium" w:cs="Arial"/>
          <w:b/>
        </w:rPr>
        <w:t>2</w:t>
      </w:r>
      <w:r w:rsidR="00F96AB5">
        <w:rPr>
          <w:rFonts w:ascii="Titillium" w:hAnsi="Titillium" w:cs="Arial"/>
          <w:b/>
        </w:rPr>
        <w:t>3</w:t>
      </w:r>
      <w:r w:rsidRPr="007A02B0">
        <w:rPr>
          <w:rFonts w:ascii="Titillium" w:hAnsi="Titillium" w:cs="Arial"/>
          <w:b/>
        </w:rPr>
        <w:t>. GODINE</w:t>
      </w:r>
    </w:p>
    <w:p w:rsidR="00EF4422" w:rsidRDefault="00EF4422" w:rsidP="008519A7">
      <w:pPr>
        <w:spacing w:after="0"/>
        <w:jc w:val="center"/>
        <w:rPr>
          <w:rFonts w:ascii="Titillium" w:hAnsi="Titillium" w:cs="Arial"/>
          <w:b/>
        </w:rPr>
      </w:pPr>
    </w:p>
    <w:p w:rsidR="009B0631" w:rsidRDefault="009B0631" w:rsidP="008519A7">
      <w:pPr>
        <w:spacing w:after="0"/>
        <w:jc w:val="center"/>
        <w:rPr>
          <w:rFonts w:ascii="Titillium" w:hAnsi="Titillium" w:cs="Arial"/>
          <w:b/>
        </w:rPr>
      </w:pPr>
      <w:bookmarkStart w:id="0" w:name="_GoBack"/>
      <w:bookmarkEnd w:id="0"/>
    </w:p>
    <w:p w:rsidR="00F85BA7" w:rsidRPr="00A16AAB" w:rsidRDefault="0023052A" w:rsidP="00E01FD6">
      <w:pPr>
        <w:spacing w:after="0"/>
        <w:ind w:left="360"/>
        <w:jc w:val="center"/>
        <w:rPr>
          <w:rFonts w:ascii="Titillium" w:hAnsi="Titillium" w:cs="Arial"/>
          <w:b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IZVJEŠTAJ O PRIHODIMA I RASHODIMA, PRIMICIMA I IZDACIMA (Obrazac: PR-RAS)</w:t>
      </w:r>
    </w:p>
    <w:p w:rsidR="0023052A" w:rsidRPr="00A16AAB" w:rsidRDefault="0023052A" w:rsidP="00F85BA7">
      <w:pPr>
        <w:spacing w:after="0"/>
        <w:jc w:val="both"/>
        <w:rPr>
          <w:rFonts w:ascii="Titillium" w:hAnsi="Titillium" w:cs="Arial"/>
          <w:b/>
          <w:sz w:val="20"/>
          <w:szCs w:val="20"/>
        </w:rPr>
      </w:pPr>
    </w:p>
    <w:p w:rsidR="0058141D" w:rsidRPr="00A16AAB" w:rsidRDefault="00F85BA7" w:rsidP="00F85BA7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PRIHODI I RASHODI POSLOVANJA</w:t>
      </w:r>
    </w:p>
    <w:p w:rsidR="00EA61BB" w:rsidRPr="00A16AAB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U razdoblju siječanj-</w:t>
      </w:r>
      <w:r>
        <w:rPr>
          <w:rFonts w:ascii="Titillium" w:hAnsi="Titillium" w:cs="Arial"/>
          <w:sz w:val="20"/>
          <w:szCs w:val="20"/>
        </w:rPr>
        <w:t>rujan</w:t>
      </w:r>
      <w:r w:rsidRPr="00A16AAB">
        <w:rPr>
          <w:rFonts w:ascii="Titillium" w:hAnsi="Titillium" w:cs="Arial"/>
          <w:sz w:val="20"/>
          <w:szCs w:val="20"/>
        </w:rPr>
        <w:t xml:space="preserve"> 202</w:t>
      </w:r>
      <w:r>
        <w:rPr>
          <w:rFonts w:ascii="Titillium" w:hAnsi="Titillium" w:cs="Arial"/>
          <w:sz w:val="20"/>
          <w:szCs w:val="20"/>
        </w:rPr>
        <w:t>3</w:t>
      </w:r>
      <w:r w:rsidRPr="00A16AAB">
        <w:rPr>
          <w:rFonts w:ascii="Titillium" w:hAnsi="Titillium" w:cs="Arial"/>
          <w:sz w:val="20"/>
          <w:szCs w:val="20"/>
        </w:rPr>
        <w:t>. godine, Institut za medicinska istraživanja i medicinu rada ostvario je</w:t>
      </w:r>
      <w:r w:rsidRPr="00A16AAB">
        <w:rPr>
          <w:rFonts w:ascii="Titillium" w:hAnsi="Titillium" w:cs="Arial"/>
          <w:b/>
          <w:sz w:val="20"/>
          <w:szCs w:val="20"/>
        </w:rPr>
        <w:t xml:space="preserve"> prihode poslovanja</w:t>
      </w:r>
      <w:r w:rsidRPr="00A16AAB">
        <w:rPr>
          <w:rFonts w:ascii="Titillium" w:hAnsi="Titillium" w:cs="Arial"/>
          <w:sz w:val="20"/>
          <w:szCs w:val="20"/>
        </w:rPr>
        <w:t xml:space="preserve"> u iznosu od </w:t>
      </w:r>
      <w:r>
        <w:rPr>
          <w:rFonts w:ascii="Titillium" w:hAnsi="Titillium" w:cs="Arial"/>
          <w:sz w:val="20"/>
          <w:szCs w:val="20"/>
        </w:rPr>
        <w:t>13.427.740,97</w:t>
      </w:r>
      <w:r w:rsidRPr="00A16AAB">
        <w:rPr>
          <w:rFonts w:ascii="Titillium" w:hAnsi="Titillium" w:cs="Arial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>EUR</w:t>
      </w:r>
      <w:r w:rsidRPr="00A16AAB">
        <w:rPr>
          <w:rFonts w:ascii="Titillium" w:hAnsi="Titillium" w:cs="Arial"/>
          <w:sz w:val="20"/>
          <w:szCs w:val="20"/>
        </w:rPr>
        <w:t xml:space="preserve"> (6). Prihodi su ostvareni od: </w:t>
      </w:r>
    </w:p>
    <w:p w:rsidR="00EA61BB" w:rsidRPr="005861FE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5861FE">
        <w:rPr>
          <w:rFonts w:ascii="Titillium" w:hAnsi="Titillium" w:cs="Arial"/>
          <w:sz w:val="20"/>
          <w:szCs w:val="20"/>
        </w:rPr>
        <w:t xml:space="preserve">Pomoći od međunarodnih organizacija te institucija i tijela EU (632) </w:t>
      </w:r>
      <w:r>
        <w:rPr>
          <w:rFonts w:ascii="Titillium" w:hAnsi="Titillium" w:cs="Arial"/>
          <w:sz w:val="20"/>
          <w:szCs w:val="20"/>
        </w:rPr>
        <w:t>5.365.577,57 EUR</w:t>
      </w:r>
    </w:p>
    <w:p w:rsidR="00EA61BB" w:rsidRPr="00E14135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E14135">
        <w:rPr>
          <w:rFonts w:ascii="Titillium" w:hAnsi="Titillium" w:cs="Arial"/>
          <w:sz w:val="20"/>
          <w:szCs w:val="20"/>
        </w:rPr>
        <w:t xml:space="preserve">Pomoći od izvanproračunskih korisnika (634) </w:t>
      </w:r>
      <w:r>
        <w:rPr>
          <w:rFonts w:ascii="Titillium" w:hAnsi="Titillium" w:cs="Arial"/>
          <w:sz w:val="20"/>
          <w:szCs w:val="20"/>
        </w:rPr>
        <w:t>43.542,73 EUR</w:t>
      </w:r>
    </w:p>
    <w:p w:rsidR="00EA61BB" w:rsidRPr="00E14135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E14135">
        <w:rPr>
          <w:rFonts w:ascii="Titillium" w:hAnsi="Titillium" w:cs="Arial"/>
          <w:sz w:val="20"/>
          <w:szCs w:val="20"/>
        </w:rPr>
        <w:t xml:space="preserve">Prijenosi između proračunskih korisnika istog proračuna (639) </w:t>
      </w:r>
      <w:r>
        <w:rPr>
          <w:rFonts w:ascii="Titillium" w:hAnsi="Titillium" w:cs="Arial"/>
          <w:sz w:val="20"/>
          <w:szCs w:val="20"/>
        </w:rPr>
        <w:t>440.613,84 EUR</w:t>
      </w:r>
    </w:p>
    <w:p w:rsidR="00EA61BB" w:rsidRPr="00BC1D86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C1D86">
        <w:rPr>
          <w:rFonts w:ascii="Titillium" w:hAnsi="Titillium" w:cs="Arial"/>
          <w:sz w:val="20"/>
          <w:szCs w:val="20"/>
        </w:rPr>
        <w:t xml:space="preserve">Prihodi od financijske imovine (641) </w:t>
      </w:r>
      <w:r>
        <w:rPr>
          <w:rFonts w:ascii="Titillium" w:hAnsi="Titillium" w:cs="Arial"/>
          <w:sz w:val="20"/>
          <w:szCs w:val="20"/>
        </w:rPr>
        <w:t>12.371,73 EUR</w:t>
      </w:r>
    </w:p>
    <w:p w:rsidR="00EA61BB" w:rsidRPr="00BC1D86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C1D86">
        <w:rPr>
          <w:rFonts w:ascii="Titillium" w:hAnsi="Titillium" w:cs="Arial"/>
          <w:sz w:val="20"/>
          <w:szCs w:val="20"/>
        </w:rPr>
        <w:t xml:space="preserve">Prihodi po posebnim propisima (652) </w:t>
      </w:r>
      <w:r>
        <w:rPr>
          <w:rFonts w:ascii="Titillium" w:hAnsi="Titillium" w:cs="Arial"/>
          <w:sz w:val="20"/>
          <w:szCs w:val="20"/>
        </w:rPr>
        <w:t>4.982,84 EUR</w:t>
      </w:r>
    </w:p>
    <w:p w:rsidR="00EA61BB" w:rsidRPr="00A16AAB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Prihodi od pruženih usluga (661) </w:t>
      </w:r>
      <w:r>
        <w:rPr>
          <w:rFonts w:ascii="Titillium" w:hAnsi="Titillium" w:cs="Arial"/>
          <w:sz w:val="20"/>
          <w:szCs w:val="20"/>
        </w:rPr>
        <w:t>1.521.961,01 EUR</w:t>
      </w:r>
    </w:p>
    <w:p w:rsidR="00EA61BB" w:rsidRPr="00BC1D86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b/>
          <w:sz w:val="20"/>
          <w:szCs w:val="20"/>
        </w:rPr>
      </w:pPr>
      <w:r w:rsidRPr="00BC1D86">
        <w:rPr>
          <w:rFonts w:ascii="Titillium" w:hAnsi="Titillium" w:cs="Arial"/>
          <w:sz w:val="20"/>
          <w:szCs w:val="20"/>
        </w:rPr>
        <w:t xml:space="preserve">Donacije od pravnih i fizičkih osoba (663) </w:t>
      </w:r>
      <w:r w:rsidR="00CA0D94">
        <w:rPr>
          <w:rFonts w:ascii="Titillium" w:hAnsi="Titillium" w:cs="Arial"/>
          <w:sz w:val="20"/>
          <w:szCs w:val="20"/>
        </w:rPr>
        <w:t>75</w:t>
      </w:r>
      <w:r>
        <w:rPr>
          <w:rFonts w:ascii="Titillium" w:hAnsi="Titillium" w:cs="Arial"/>
          <w:sz w:val="20"/>
          <w:szCs w:val="20"/>
        </w:rPr>
        <w:t>.</w:t>
      </w:r>
      <w:r w:rsidR="00CA0D94">
        <w:rPr>
          <w:rFonts w:ascii="Titillium" w:hAnsi="Titillium" w:cs="Arial"/>
          <w:sz w:val="20"/>
          <w:szCs w:val="20"/>
        </w:rPr>
        <w:t>730,80</w:t>
      </w:r>
      <w:r>
        <w:rPr>
          <w:rFonts w:ascii="Titillium" w:hAnsi="Titillium" w:cs="Arial"/>
          <w:sz w:val="20"/>
          <w:szCs w:val="20"/>
        </w:rPr>
        <w:t xml:space="preserve"> EUR</w:t>
      </w:r>
    </w:p>
    <w:p w:rsidR="00EA61BB" w:rsidRDefault="00EA61BB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6475B5">
        <w:rPr>
          <w:rFonts w:ascii="Titillium" w:hAnsi="Titillium" w:cs="Arial"/>
          <w:sz w:val="20"/>
          <w:szCs w:val="20"/>
        </w:rPr>
        <w:t xml:space="preserve">Prihodi iz nadležnog proračuna (671) </w:t>
      </w:r>
      <w:r w:rsidR="00CA0D94">
        <w:rPr>
          <w:rFonts w:ascii="Titillium" w:hAnsi="Titillium" w:cs="Arial"/>
          <w:sz w:val="20"/>
          <w:szCs w:val="20"/>
        </w:rPr>
        <w:t>5</w:t>
      </w:r>
      <w:r>
        <w:rPr>
          <w:rFonts w:ascii="Titillium" w:hAnsi="Titillium" w:cs="Arial"/>
          <w:sz w:val="20"/>
          <w:szCs w:val="20"/>
        </w:rPr>
        <w:t>.</w:t>
      </w:r>
      <w:r w:rsidR="00CA0D94">
        <w:rPr>
          <w:rFonts w:ascii="Titillium" w:hAnsi="Titillium" w:cs="Arial"/>
          <w:sz w:val="20"/>
          <w:szCs w:val="20"/>
        </w:rPr>
        <w:t>962</w:t>
      </w:r>
      <w:r>
        <w:rPr>
          <w:rFonts w:ascii="Titillium" w:hAnsi="Titillium" w:cs="Arial"/>
          <w:sz w:val="20"/>
          <w:szCs w:val="20"/>
        </w:rPr>
        <w:t>.</w:t>
      </w:r>
      <w:r w:rsidR="00CA0D94">
        <w:rPr>
          <w:rFonts w:ascii="Titillium" w:hAnsi="Titillium" w:cs="Arial"/>
          <w:sz w:val="20"/>
          <w:szCs w:val="20"/>
        </w:rPr>
        <w:t>960,13</w:t>
      </w:r>
      <w:r>
        <w:rPr>
          <w:rFonts w:ascii="Titillium" w:hAnsi="Titillium" w:cs="Arial"/>
          <w:sz w:val="20"/>
          <w:szCs w:val="20"/>
        </w:rPr>
        <w:t xml:space="preserve"> EUR</w:t>
      </w:r>
    </w:p>
    <w:p w:rsidR="007441EC" w:rsidRPr="006475B5" w:rsidRDefault="007441EC" w:rsidP="00EA61BB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Ostali prihodi (683) 0,32 EUR</w:t>
      </w:r>
    </w:p>
    <w:p w:rsidR="00F578B5" w:rsidRDefault="00EA61BB" w:rsidP="00EA61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Style w:val="st1"/>
          <w:rFonts w:ascii="Titillium" w:hAnsi="Titillium" w:cs="Arial"/>
          <w:sz w:val="20"/>
          <w:szCs w:val="20"/>
        </w:rPr>
      </w:pPr>
      <w:r w:rsidRPr="00901E95">
        <w:rPr>
          <w:rFonts w:ascii="Titillium" w:hAnsi="Titillium" w:cs="Arial"/>
          <w:sz w:val="20"/>
          <w:szCs w:val="20"/>
        </w:rPr>
        <w:t xml:space="preserve">Na računu 6323 – Tekuće pomoći od institucija i tijela EU evidentiran je iznos od </w:t>
      </w:r>
      <w:r w:rsidR="00751FBE">
        <w:rPr>
          <w:rFonts w:ascii="Titillium" w:hAnsi="Titillium" w:cs="Arial"/>
          <w:sz w:val="20"/>
          <w:szCs w:val="20"/>
        </w:rPr>
        <w:t>611</w:t>
      </w:r>
      <w:r w:rsidRPr="00901E95">
        <w:rPr>
          <w:rFonts w:ascii="Titillium" w:hAnsi="Titillium" w:cs="Arial"/>
          <w:sz w:val="20"/>
          <w:szCs w:val="20"/>
        </w:rPr>
        <w:t>.</w:t>
      </w:r>
      <w:r w:rsidR="00751FBE">
        <w:rPr>
          <w:rFonts w:ascii="Titillium" w:hAnsi="Titillium" w:cs="Arial"/>
          <w:sz w:val="20"/>
          <w:szCs w:val="20"/>
        </w:rPr>
        <w:t>747,02</w:t>
      </w:r>
      <w:r w:rsidRPr="00901E95">
        <w:rPr>
          <w:rFonts w:ascii="Titillium" w:hAnsi="Titillium" w:cs="Arial"/>
          <w:sz w:val="20"/>
          <w:szCs w:val="20"/>
        </w:rPr>
        <w:t xml:space="preserve"> EUR (indeks 1</w:t>
      </w:r>
      <w:r w:rsidR="00751FBE">
        <w:rPr>
          <w:rFonts w:ascii="Titillium" w:hAnsi="Titillium" w:cs="Arial"/>
          <w:sz w:val="20"/>
          <w:szCs w:val="20"/>
        </w:rPr>
        <w:t>14,3</w:t>
      </w:r>
      <w:r w:rsidRPr="00901E95">
        <w:rPr>
          <w:rFonts w:ascii="Titillium" w:hAnsi="Titillium" w:cs="Arial"/>
          <w:sz w:val="20"/>
          <w:szCs w:val="20"/>
        </w:rPr>
        <w:t xml:space="preserve">). Prihod u iznosu od 106.982,73 EUR ostvaren je od </w:t>
      </w:r>
      <w:r w:rsidRPr="00901E95">
        <w:rPr>
          <w:rStyle w:val="st1"/>
          <w:rFonts w:ascii="Titillium" w:hAnsi="Titillium" w:cs="Arial"/>
          <w:sz w:val="20"/>
          <w:szCs w:val="20"/>
        </w:rPr>
        <w:t xml:space="preserve">Luxembourg Institute for Science </w:t>
      </w:r>
      <w:proofErr w:type="spellStart"/>
      <w:r w:rsidRPr="00901E95">
        <w:rPr>
          <w:rStyle w:val="st1"/>
          <w:rFonts w:ascii="Titillium" w:hAnsi="Titillium" w:cs="Arial"/>
          <w:sz w:val="20"/>
          <w:szCs w:val="20"/>
        </w:rPr>
        <w:t>and</w:t>
      </w:r>
      <w:proofErr w:type="spellEnd"/>
      <w:r w:rsidRPr="00901E95">
        <w:rPr>
          <w:rStyle w:val="st1"/>
          <w:rFonts w:ascii="Titillium" w:hAnsi="Titillium" w:cs="Arial"/>
          <w:sz w:val="20"/>
          <w:szCs w:val="20"/>
        </w:rPr>
        <w:t xml:space="preserve"> Technology za projekt: </w:t>
      </w:r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Pharmaceutical Open </w:t>
      </w:r>
      <w:proofErr w:type="spellStart"/>
      <w:r w:rsidRPr="00901E95">
        <w:rPr>
          <w:rStyle w:val="st1"/>
          <w:rFonts w:ascii="Titillium" w:hAnsi="Titillium" w:cs="Arial"/>
          <w:i/>
          <w:sz w:val="20"/>
          <w:szCs w:val="20"/>
        </w:rPr>
        <w:t>Innovation</w:t>
      </w:r>
      <w:proofErr w:type="spellEnd"/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 Test Bed for </w:t>
      </w:r>
      <w:proofErr w:type="spellStart"/>
      <w:r w:rsidRPr="00901E95">
        <w:rPr>
          <w:rStyle w:val="st1"/>
          <w:rFonts w:ascii="Titillium" w:hAnsi="Titillium" w:cs="Arial"/>
          <w:i/>
          <w:sz w:val="20"/>
          <w:szCs w:val="20"/>
        </w:rPr>
        <w:t>Enabling</w:t>
      </w:r>
      <w:proofErr w:type="spellEnd"/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 Nano-Pharmaceutical </w:t>
      </w:r>
      <w:proofErr w:type="spellStart"/>
      <w:r w:rsidRPr="00901E95">
        <w:rPr>
          <w:rStyle w:val="st1"/>
          <w:rFonts w:ascii="Titillium" w:hAnsi="Titillium" w:cs="Arial"/>
          <w:i/>
          <w:sz w:val="20"/>
          <w:szCs w:val="20"/>
        </w:rPr>
        <w:t>Innovative</w:t>
      </w:r>
      <w:proofErr w:type="spellEnd"/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 Products - PHOENIX </w:t>
      </w:r>
      <w:r w:rsidRPr="00901E95">
        <w:rPr>
          <w:rStyle w:val="st1"/>
          <w:rFonts w:ascii="Titillium" w:hAnsi="Titillium" w:cs="Arial"/>
          <w:sz w:val="20"/>
          <w:szCs w:val="20"/>
        </w:rPr>
        <w:t xml:space="preserve"> iz okvirnog programa EU za istraživanja i inovacije Obzor 2020. Projekt je započeo 2021. godine, a u siječnju 2023. doznačena je druga rata za rad na projektu.</w:t>
      </w:r>
      <w:r>
        <w:rPr>
          <w:rStyle w:val="st1"/>
          <w:rFonts w:ascii="Titillium" w:hAnsi="Titillium" w:cs="Arial"/>
          <w:sz w:val="20"/>
          <w:szCs w:val="20"/>
        </w:rPr>
        <w:t xml:space="preserve"> </w:t>
      </w:r>
      <w:r w:rsidRPr="00901E95">
        <w:rPr>
          <w:rFonts w:ascii="Titillium" w:hAnsi="Titillium"/>
          <w:sz w:val="20"/>
          <w:szCs w:val="20"/>
        </w:rPr>
        <w:t xml:space="preserve">Institut National </w:t>
      </w:r>
      <w:proofErr w:type="spellStart"/>
      <w:r w:rsidRPr="00901E95">
        <w:rPr>
          <w:rFonts w:ascii="Titillium" w:hAnsi="Titillium"/>
          <w:sz w:val="20"/>
          <w:szCs w:val="20"/>
        </w:rPr>
        <w:t>Polytechnique</w:t>
      </w:r>
      <w:proofErr w:type="spellEnd"/>
      <w:r w:rsidRPr="00901E95">
        <w:rPr>
          <w:rFonts w:ascii="Titillium" w:hAnsi="Titillium"/>
          <w:sz w:val="20"/>
          <w:szCs w:val="20"/>
        </w:rPr>
        <w:t xml:space="preserve"> de </w:t>
      </w:r>
      <w:proofErr w:type="spellStart"/>
      <w:r w:rsidRPr="00901E95">
        <w:rPr>
          <w:rFonts w:ascii="Titillium" w:hAnsi="Titillium"/>
          <w:sz w:val="20"/>
          <w:szCs w:val="20"/>
        </w:rPr>
        <w:t>Toulouse</w:t>
      </w:r>
      <w:proofErr w:type="spellEnd"/>
      <w:r w:rsidRPr="00901E95">
        <w:rPr>
          <w:rFonts w:ascii="Titillium" w:hAnsi="Titillium"/>
          <w:sz w:val="20"/>
          <w:szCs w:val="20"/>
        </w:rPr>
        <w:t xml:space="preserve"> doznačio je </w:t>
      </w:r>
      <w:r>
        <w:rPr>
          <w:rFonts w:ascii="Titillium" w:hAnsi="Titillium"/>
          <w:sz w:val="20"/>
          <w:szCs w:val="20"/>
        </w:rPr>
        <w:t>drugu</w:t>
      </w:r>
      <w:r w:rsidRPr="00901E95">
        <w:rPr>
          <w:rFonts w:ascii="Titillium" w:hAnsi="Titillium"/>
          <w:sz w:val="20"/>
          <w:szCs w:val="20"/>
        </w:rPr>
        <w:t xml:space="preserve"> ratu u iznosu od </w:t>
      </w:r>
      <w:r>
        <w:rPr>
          <w:rFonts w:ascii="Titillium" w:hAnsi="Titillium"/>
          <w:sz w:val="20"/>
          <w:szCs w:val="20"/>
        </w:rPr>
        <w:t>6.753,90 EUR</w:t>
      </w:r>
      <w:r w:rsidRPr="00901E95">
        <w:rPr>
          <w:rFonts w:ascii="Titillium" w:hAnsi="Titillium"/>
          <w:sz w:val="20"/>
          <w:szCs w:val="20"/>
        </w:rPr>
        <w:t xml:space="preserve"> za rad na projektu</w:t>
      </w:r>
      <w:r w:rsidRPr="00901E95">
        <w:rPr>
          <w:rStyle w:val="st1"/>
          <w:rFonts w:ascii="Titillium" w:hAnsi="Titillium" w:cs="Arial"/>
          <w:sz w:val="20"/>
          <w:szCs w:val="20"/>
        </w:rPr>
        <w:t xml:space="preserve"> </w:t>
      </w:r>
      <w:proofErr w:type="spellStart"/>
      <w:r w:rsidRPr="00901E95">
        <w:rPr>
          <w:rStyle w:val="st1"/>
          <w:rFonts w:ascii="Titillium" w:hAnsi="Titillium" w:cs="Arial"/>
          <w:i/>
          <w:sz w:val="20"/>
          <w:szCs w:val="20"/>
        </w:rPr>
        <w:t>Toxicology</w:t>
      </w:r>
      <w:proofErr w:type="spellEnd"/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Pr="00901E95">
        <w:rPr>
          <w:rStyle w:val="st1"/>
          <w:rFonts w:ascii="Titillium" w:hAnsi="Titillium" w:cs="Arial"/>
          <w:i/>
          <w:sz w:val="20"/>
          <w:szCs w:val="20"/>
        </w:rPr>
        <w:t>Innovative</w:t>
      </w:r>
      <w:proofErr w:type="spellEnd"/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 </w:t>
      </w:r>
      <w:proofErr w:type="spellStart"/>
      <w:r w:rsidRPr="00901E95">
        <w:rPr>
          <w:rStyle w:val="st1"/>
          <w:rFonts w:ascii="Titillium" w:hAnsi="Titillium" w:cs="Arial"/>
          <w:i/>
          <w:sz w:val="20"/>
          <w:szCs w:val="20"/>
        </w:rPr>
        <w:t>Learning</w:t>
      </w:r>
      <w:proofErr w:type="spellEnd"/>
      <w:r w:rsidRPr="00901E95">
        <w:rPr>
          <w:rStyle w:val="st1"/>
          <w:rFonts w:ascii="Titillium" w:hAnsi="Titillium" w:cs="Arial"/>
          <w:i/>
          <w:sz w:val="20"/>
          <w:szCs w:val="20"/>
        </w:rPr>
        <w:t xml:space="preserve"> For Europe ToxLearn4EU</w:t>
      </w:r>
      <w:r w:rsidRPr="00901E95">
        <w:rPr>
          <w:rStyle w:val="st1"/>
          <w:rFonts w:ascii="Titillium" w:hAnsi="Titillium" w:cs="Arial"/>
          <w:sz w:val="20"/>
          <w:szCs w:val="20"/>
        </w:rPr>
        <w:t xml:space="preserve"> </w:t>
      </w:r>
      <w:r>
        <w:rPr>
          <w:rStyle w:val="st1"/>
          <w:rFonts w:ascii="Titillium" w:hAnsi="Titillium" w:cs="Arial"/>
          <w:sz w:val="20"/>
          <w:szCs w:val="20"/>
        </w:rPr>
        <w:t>i</w:t>
      </w:r>
      <w:r w:rsidRPr="00901E95">
        <w:rPr>
          <w:rStyle w:val="st1"/>
          <w:rFonts w:ascii="Titillium" w:hAnsi="Titillium" w:cs="Arial"/>
          <w:sz w:val="20"/>
          <w:szCs w:val="20"/>
        </w:rPr>
        <w:t>z poziva ERASMUS+</w:t>
      </w:r>
      <w:r>
        <w:rPr>
          <w:rStyle w:val="st1"/>
          <w:rFonts w:ascii="Titillium" w:hAnsi="Titillium" w:cs="Arial"/>
          <w:sz w:val="20"/>
          <w:szCs w:val="20"/>
        </w:rPr>
        <w:t xml:space="preserve">. Na istom računu evidentiran je i iznos od 96.435,95 EUR doznačen iz Fonda solidarnosti Europske unije kao refundacija troškova za sanaciju štete nastale od potresa u ožujku 2020. i iznos od 19.654,44 EUR od Europskog fonda za regionalni razvoj za rad na projektu REC-IMI. </w:t>
      </w:r>
      <w:r w:rsidR="00503086">
        <w:rPr>
          <w:rStyle w:val="st1"/>
          <w:rFonts w:ascii="Titillium" w:hAnsi="Titillium" w:cs="Arial"/>
          <w:sz w:val="20"/>
          <w:szCs w:val="20"/>
        </w:rPr>
        <w:t xml:space="preserve">Krajem 2023. godine Ministarstvo znanosti i obrazovanja doznačilo je Institutu </w:t>
      </w:r>
      <w:r w:rsidR="006E53F4">
        <w:rPr>
          <w:rStyle w:val="st1"/>
          <w:rFonts w:ascii="Titillium" w:hAnsi="Titillium" w:cs="Arial"/>
          <w:sz w:val="20"/>
          <w:szCs w:val="20"/>
        </w:rPr>
        <w:t xml:space="preserve">iz Mehanizma za oporavak i otpornost iznos </w:t>
      </w:r>
      <w:r w:rsidR="006E53F4">
        <w:rPr>
          <w:rStyle w:val="st1"/>
          <w:rFonts w:ascii="Titillium" w:hAnsi="Titillium" w:cs="Arial"/>
          <w:sz w:val="20"/>
          <w:szCs w:val="20"/>
        </w:rPr>
        <w:lastRenderedPageBreak/>
        <w:t>od 263,899,00 EUR za financiranje razvojne i izvedbene komponente prema Programskom ugovoru o višegodišnjem financiranju Instituta</w:t>
      </w:r>
      <w:r w:rsidR="00B2220C">
        <w:rPr>
          <w:rStyle w:val="st1"/>
          <w:rFonts w:ascii="Titillium" w:hAnsi="Titillium" w:cs="Arial"/>
          <w:sz w:val="20"/>
          <w:szCs w:val="20"/>
        </w:rPr>
        <w:t xml:space="preserve"> i iznos od </w:t>
      </w:r>
      <w:r w:rsidR="00F578B5">
        <w:rPr>
          <w:rStyle w:val="st1"/>
          <w:rFonts w:ascii="Titillium" w:hAnsi="Titillium" w:cs="Arial"/>
          <w:sz w:val="20"/>
          <w:szCs w:val="20"/>
        </w:rPr>
        <w:t>118.021,00 EUR iz izvora 5761 za programsko financiranje 2023.</w:t>
      </w:r>
    </w:p>
    <w:p w:rsidR="00EA61BB" w:rsidRPr="00E14135" w:rsidRDefault="00F578B5" w:rsidP="00EA61B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eastAsia="Arial" w:hAnsi="Titillium"/>
          <w:i/>
          <w:sz w:val="20"/>
          <w:szCs w:val="20"/>
          <w:lang w:val="en-GB"/>
        </w:rPr>
      </w:pPr>
      <w:r w:rsidRPr="00F578B5">
        <w:rPr>
          <w:rStyle w:val="st1"/>
          <w:rFonts w:ascii="Titillium" w:hAnsi="Titillium" w:cs="Arial"/>
          <w:sz w:val="20"/>
          <w:szCs w:val="20"/>
        </w:rPr>
        <w:t xml:space="preserve">Na računu 6324 – Kapitalne pomoći od institucija i tijela EU (6324) evidentiran je iznos od 4.587.864,59 EUR (indeks 36,8). </w:t>
      </w:r>
      <w:r w:rsidR="00C248CA">
        <w:rPr>
          <w:rStyle w:val="st1"/>
          <w:rFonts w:ascii="Titillium" w:hAnsi="Titillium" w:cs="Arial"/>
          <w:sz w:val="20"/>
          <w:szCs w:val="20"/>
        </w:rPr>
        <w:t xml:space="preserve">U </w:t>
      </w:r>
      <w:r>
        <w:rPr>
          <w:rStyle w:val="st1"/>
          <w:rFonts w:ascii="Titillium" w:hAnsi="Titillium" w:cs="Arial"/>
          <w:sz w:val="20"/>
          <w:szCs w:val="20"/>
        </w:rPr>
        <w:t xml:space="preserve">2023. godini završila </w:t>
      </w:r>
      <w:r w:rsidR="00C248CA">
        <w:rPr>
          <w:rStyle w:val="st1"/>
          <w:rFonts w:ascii="Titillium" w:hAnsi="Titillium" w:cs="Arial"/>
          <w:sz w:val="20"/>
          <w:szCs w:val="20"/>
        </w:rPr>
        <w:t xml:space="preserve">je </w:t>
      </w:r>
      <w:r>
        <w:rPr>
          <w:rStyle w:val="st1"/>
          <w:rFonts w:ascii="Titillium" w:hAnsi="Titillium" w:cs="Arial"/>
          <w:sz w:val="20"/>
          <w:szCs w:val="20"/>
        </w:rPr>
        <w:t xml:space="preserve">provedba projekta </w:t>
      </w:r>
      <w:r w:rsidRPr="00F578B5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Pr="00F578B5">
        <w:rPr>
          <w:rFonts w:ascii="Titillium" w:hAnsi="Titillium" w:cs="Arial"/>
          <w:sz w:val="20"/>
          <w:szCs w:val="20"/>
        </w:rPr>
        <w:t xml:space="preserve"> – </w:t>
      </w:r>
      <w:r w:rsidRPr="00F578B5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Zagrebu</w:t>
      </w:r>
      <w:r w:rsidRPr="00F578B5">
        <w:rPr>
          <w:rFonts w:ascii="Titillium" w:hAnsi="Titillium" w:cs="Arial"/>
          <w:sz w:val="20"/>
          <w:szCs w:val="20"/>
        </w:rPr>
        <w:t xml:space="preserve"> kojeg sufinancira EU iz Europskog fonda za regionalni razvoj. Tijekom 2022. godine </w:t>
      </w:r>
      <w:r w:rsidR="00C248CA">
        <w:rPr>
          <w:rFonts w:ascii="Titillium" w:hAnsi="Titillium" w:cs="Arial"/>
          <w:sz w:val="20"/>
          <w:szCs w:val="20"/>
        </w:rPr>
        <w:t xml:space="preserve">za </w:t>
      </w:r>
      <w:r w:rsidR="000B11AF">
        <w:rPr>
          <w:rFonts w:ascii="Titillium" w:hAnsi="Titillium" w:cs="Arial"/>
          <w:sz w:val="20"/>
          <w:szCs w:val="20"/>
        </w:rPr>
        <w:t xml:space="preserve">navedeni </w:t>
      </w:r>
      <w:r w:rsidR="00C248CA">
        <w:rPr>
          <w:rFonts w:ascii="Titillium" w:hAnsi="Titillium" w:cs="Arial"/>
          <w:sz w:val="20"/>
          <w:szCs w:val="20"/>
        </w:rPr>
        <w:t xml:space="preserve">projekt je ostvaren prihod u iznosu od </w:t>
      </w:r>
      <w:r w:rsidR="00C248CA" w:rsidRPr="00F578B5">
        <w:rPr>
          <w:rFonts w:ascii="Titillium" w:hAnsi="Titillium" w:cs="Arial"/>
          <w:sz w:val="20"/>
          <w:szCs w:val="20"/>
        </w:rPr>
        <w:t>82.403.048,84</w:t>
      </w:r>
      <w:r w:rsidR="00C248CA" w:rsidRPr="00F578B5">
        <w:rPr>
          <w:rStyle w:val="st1"/>
          <w:rFonts w:ascii="Titillium" w:hAnsi="Titillium" w:cs="Arial"/>
          <w:sz w:val="20"/>
          <w:szCs w:val="20"/>
        </w:rPr>
        <w:t xml:space="preserve"> kn</w:t>
      </w:r>
      <w:r w:rsidR="00C248CA" w:rsidRPr="00F578B5">
        <w:rPr>
          <w:rFonts w:ascii="Titillium" w:hAnsi="Titillium" w:cs="Arial"/>
          <w:sz w:val="20"/>
          <w:szCs w:val="20"/>
        </w:rPr>
        <w:t xml:space="preserve"> </w:t>
      </w:r>
      <w:r w:rsidR="00C248CA">
        <w:rPr>
          <w:rFonts w:ascii="Titillium" w:hAnsi="Titillium" w:cs="Arial"/>
          <w:sz w:val="20"/>
          <w:szCs w:val="20"/>
        </w:rPr>
        <w:t xml:space="preserve">(10.936.764,06 EUR) </w:t>
      </w:r>
      <w:r w:rsidRPr="00F578B5">
        <w:rPr>
          <w:rFonts w:ascii="Titillium" w:hAnsi="Titillium" w:cs="Arial"/>
          <w:sz w:val="20"/>
          <w:szCs w:val="20"/>
        </w:rPr>
        <w:t xml:space="preserve">pa je indeks </w:t>
      </w:r>
      <w:r w:rsidR="000B11AF">
        <w:rPr>
          <w:rFonts w:ascii="Titillium" w:hAnsi="Titillium" w:cs="Arial"/>
          <w:sz w:val="20"/>
          <w:szCs w:val="20"/>
        </w:rPr>
        <w:t xml:space="preserve">2023. </w:t>
      </w:r>
      <w:r w:rsidRPr="00F578B5">
        <w:rPr>
          <w:rFonts w:ascii="Titillium" w:hAnsi="Titillium" w:cs="Arial"/>
          <w:sz w:val="20"/>
          <w:szCs w:val="20"/>
        </w:rPr>
        <w:t xml:space="preserve">u odnosu na prethodnu godinu </w:t>
      </w:r>
      <w:r w:rsidR="00C248CA">
        <w:rPr>
          <w:rFonts w:ascii="Titillium" w:hAnsi="Titillium" w:cs="Arial"/>
          <w:sz w:val="20"/>
          <w:szCs w:val="20"/>
        </w:rPr>
        <w:t>znatno manji.</w:t>
      </w:r>
      <w:r w:rsidR="006E53F4">
        <w:rPr>
          <w:rStyle w:val="st1"/>
          <w:rFonts w:ascii="Titillium" w:hAnsi="Titillium" w:cs="Arial"/>
          <w:sz w:val="20"/>
          <w:szCs w:val="20"/>
        </w:rPr>
        <w:t xml:space="preserve"> </w:t>
      </w:r>
    </w:p>
    <w:p w:rsidR="00EA61BB" w:rsidRPr="00783027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783027">
        <w:rPr>
          <w:rFonts w:ascii="Titillium" w:hAnsi="Titillium" w:cs="Arial"/>
          <w:sz w:val="20"/>
          <w:szCs w:val="20"/>
        </w:rPr>
        <w:t>Na računu 634</w:t>
      </w:r>
      <w:r>
        <w:rPr>
          <w:rFonts w:ascii="Titillium" w:hAnsi="Titillium" w:cs="Arial"/>
          <w:sz w:val="20"/>
          <w:szCs w:val="20"/>
        </w:rPr>
        <w:t>1</w:t>
      </w:r>
      <w:r w:rsidRPr="00783027">
        <w:rPr>
          <w:rFonts w:ascii="Titillium" w:hAnsi="Titillium" w:cs="Arial"/>
          <w:sz w:val="20"/>
          <w:szCs w:val="20"/>
        </w:rPr>
        <w:t xml:space="preserve"> - Pomoći od izvanproračunskih korisnika </w:t>
      </w:r>
      <w:r>
        <w:rPr>
          <w:rFonts w:ascii="Titillium" w:hAnsi="Titillium" w:cs="Arial"/>
          <w:sz w:val="20"/>
          <w:szCs w:val="20"/>
        </w:rPr>
        <w:t xml:space="preserve">evidentiran je iznos </w:t>
      </w:r>
      <w:r w:rsidR="00C248CA">
        <w:rPr>
          <w:rFonts w:ascii="Titillium" w:hAnsi="Titillium" w:cs="Arial"/>
          <w:sz w:val="20"/>
          <w:szCs w:val="20"/>
        </w:rPr>
        <w:t>43</w:t>
      </w:r>
      <w:r>
        <w:rPr>
          <w:rFonts w:ascii="Titillium" w:hAnsi="Titillium" w:cs="Arial"/>
          <w:sz w:val="20"/>
          <w:szCs w:val="20"/>
        </w:rPr>
        <w:t>.</w:t>
      </w:r>
      <w:r w:rsidR="00C248CA">
        <w:rPr>
          <w:rFonts w:ascii="Titillium" w:hAnsi="Titillium" w:cs="Arial"/>
          <w:sz w:val="20"/>
          <w:szCs w:val="20"/>
        </w:rPr>
        <w:t>542,73</w:t>
      </w:r>
      <w:r>
        <w:rPr>
          <w:rFonts w:ascii="Titillium" w:hAnsi="Titillium" w:cs="Arial"/>
          <w:sz w:val="20"/>
          <w:szCs w:val="20"/>
        </w:rPr>
        <w:t xml:space="preserve"> EUR</w:t>
      </w:r>
      <w:r>
        <w:rPr>
          <w:rFonts w:ascii="Titillium" w:hAnsi="Titillium" w:cs="Arial"/>
        </w:rPr>
        <w:t xml:space="preserve"> </w:t>
      </w:r>
      <w:r w:rsidRPr="00783027">
        <w:rPr>
          <w:rFonts w:ascii="Titillium" w:hAnsi="Titillium" w:cs="Arial"/>
          <w:sz w:val="20"/>
          <w:szCs w:val="20"/>
        </w:rPr>
        <w:t xml:space="preserve">doznačen od Fonda za zaštitu okoliša i energetsku učinkovitost </w:t>
      </w:r>
      <w:r>
        <w:rPr>
          <w:rFonts w:ascii="Titillium" w:hAnsi="Titillium" w:cs="Arial"/>
          <w:sz w:val="20"/>
          <w:szCs w:val="20"/>
        </w:rPr>
        <w:t xml:space="preserve">za </w:t>
      </w:r>
      <w:r w:rsidRPr="00783027">
        <w:rPr>
          <w:rFonts w:ascii="Titillium" w:hAnsi="Titillium" w:cs="Arial"/>
          <w:sz w:val="20"/>
          <w:szCs w:val="20"/>
        </w:rPr>
        <w:t>refundacij</w:t>
      </w:r>
      <w:r>
        <w:rPr>
          <w:rFonts w:ascii="Titillium" w:hAnsi="Titillium" w:cs="Arial"/>
          <w:sz w:val="20"/>
          <w:szCs w:val="20"/>
        </w:rPr>
        <w:t>u</w:t>
      </w:r>
      <w:r w:rsidRPr="00783027">
        <w:rPr>
          <w:rFonts w:ascii="Titillium" w:hAnsi="Titillium" w:cs="Arial"/>
          <w:sz w:val="20"/>
          <w:szCs w:val="20"/>
        </w:rPr>
        <w:t xml:space="preserve"> troškova temeljem Ugovora o praćenju kvalitete zraka u Državnoj mreži za trajno praćenje kvalitete zraka.</w:t>
      </w:r>
    </w:p>
    <w:p w:rsidR="00EA61BB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Na računu 639</w:t>
      </w:r>
      <w:r>
        <w:rPr>
          <w:rFonts w:ascii="Titillium" w:hAnsi="Titillium" w:cs="Arial"/>
          <w:sz w:val="20"/>
          <w:szCs w:val="20"/>
        </w:rPr>
        <w:t>1</w:t>
      </w:r>
      <w:r w:rsidRPr="00A16AAB">
        <w:rPr>
          <w:rFonts w:ascii="Titillium" w:hAnsi="Titillium" w:cs="Arial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>–</w:t>
      </w:r>
      <w:r w:rsidRPr="00A16AAB">
        <w:rPr>
          <w:rFonts w:ascii="Titillium" w:hAnsi="Titillium" w:cs="Arial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>Tekući p</w:t>
      </w:r>
      <w:r w:rsidRPr="00A16AAB">
        <w:rPr>
          <w:rFonts w:ascii="Titillium" w:hAnsi="Titillium" w:cs="Arial"/>
          <w:sz w:val="20"/>
          <w:szCs w:val="20"/>
        </w:rPr>
        <w:t xml:space="preserve">rijenosi između proračunskih korisnika istog proračuna evidentirani su prihodi u iznosu od </w:t>
      </w:r>
      <w:r w:rsidR="00C248CA">
        <w:rPr>
          <w:rFonts w:ascii="Titillium" w:hAnsi="Titillium" w:cs="Arial"/>
          <w:sz w:val="20"/>
          <w:szCs w:val="20"/>
        </w:rPr>
        <w:t>440</w:t>
      </w:r>
      <w:r>
        <w:rPr>
          <w:rFonts w:ascii="Titillium" w:hAnsi="Titillium" w:cs="Arial"/>
          <w:sz w:val="20"/>
          <w:szCs w:val="20"/>
        </w:rPr>
        <w:t>.</w:t>
      </w:r>
      <w:r w:rsidR="00C248CA">
        <w:rPr>
          <w:rFonts w:ascii="Titillium" w:hAnsi="Titillium" w:cs="Arial"/>
          <w:sz w:val="20"/>
          <w:szCs w:val="20"/>
        </w:rPr>
        <w:t>613,84</w:t>
      </w:r>
      <w:r>
        <w:rPr>
          <w:rFonts w:ascii="Titillium" w:hAnsi="Titillium" w:cs="Arial"/>
          <w:sz w:val="20"/>
          <w:szCs w:val="20"/>
        </w:rPr>
        <w:t xml:space="preserve"> EUR. Na ovom računu evidentirani su prihodi od </w:t>
      </w:r>
      <w:r w:rsidRPr="00A16AAB">
        <w:rPr>
          <w:rFonts w:ascii="Titillium" w:hAnsi="Titillium" w:cs="Arial"/>
          <w:sz w:val="20"/>
          <w:szCs w:val="20"/>
        </w:rPr>
        <w:t>Hrvatsk</w:t>
      </w:r>
      <w:r>
        <w:rPr>
          <w:rFonts w:ascii="Titillium" w:hAnsi="Titillium" w:cs="Arial"/>
          <w:sz w:val="20"/>
          <w:szCs w:val="20"/>
        </w:rPr>
        <w:t>e</w:t>
      </w:r>
      <w:r w:rsidRPr="00A16AAB">
        <w:rPr>
          <w:rFonts w:ascii="Titillium" w:hAnsi="Titillium" w:cs="Arial"/>
          <w:sz w:val="20"/>
          <w:szCs w:val="20"/>
        </w:rPr>
        <w:t xml:space="preserve"> zaklad</w:t>
      </w:r>
      <w:r>
        <w:rPr>
          <w:rFonts w:ascii="Titillium" w:hAnsi="Titillium" w:cs="Arial"/>
          <w:sz w:val="20"/>
          <w:szCs w:val="20"/>
        </w:rPr>
        <w:t>e</w:t>
      </w:r>
      <w:r w:rsidRPr="00A16AAB">
        <w:rPr>
          <w:rFonts w:ascii="Titillium" w:hAnsi="Titillium" w:cs="Arial"/>
          <w:sz w:val="20"/>
          <w:szCs w:val="20"/>
        </w:rPr>
        <w:t xml:space="preserve"> za znanost </w:t>
      </w:r>
      <w:r>
        <w:rPr>
          <w:rFonts w:ascii="Titillium" w:hAnsi="Titillium" w:cs="Arial"/>
          <w:sz w:val="20"/>
          <w:szCs w:val="20"/>
        </w:rPr>
        <w:t xml:space="preserve">za istraživačke projekte i </w:t>
      </w:r>
      <w:r w:rsidRPr="00A16AAB">
        <w:rPr>
          <w:rFonts w:ascii="Titillium" w:hAnsi="Titillium" w:cs="Arial"/>
          <w:sz w:val="20"/>
          <w:szCs w:val="20"/>
        </w:rPr>
        <w:t>plaće mladih istraživača</w:t>
      </w:r>
      <w:r>
        <w:rPr>
          <w:rFonts w:ascii="Titillium" w:hAnsi="Titillium" w:cs="Arial"/>
          <w:sz w:val="20"/>
          <w:szCs w:val="20"/>
        </w:rPr>
        <w:t xml:space="preserve">, </w:t>
      </w:r>
      <w:r w:rsidRPr="00A16AAB">
        <w:rPr>
          <w:rFonts w:ascii="Titillium" w:hAnsi="Titillium" w:cs="Arial"/>
          <w:sz w:val="20"/>
          <w:szCs w:val="20"/>
        </w:rPr>
        <w:t>prihodi od Ministarstva znanosti i obrazovanja za bilateralne projekte</w:t>
      </w:r>
      <w:r>
        <w:rPr>
          <w:rFonts w:ascii="Titillium" w:hAnsi="Titillium" w:cs="Arial"/>
          <w:sz w:val="20"/>
          <w:szCs w:val="20"/>
        </w:rPr>
        <w:t xml:space="preserve"> i </w:t>
      </w:r>
      <w:r w:rsidRPr="00A16AAB">
        <w:rPr>
          <w:rFonts w:ascii="Titillium" w:hAnsi="Titillium" w:cs="Arial"/>
          <w:sz w:val="20"/>
          <w:szCs w:val="20"/>
        </w:rPr>
        <w:t>prihod</w:t>
      </w:r>
      <w:r>
        <w:rPr>
          <w:rFonts w:ascii="Titillium" w:hAnsi="Titillium" w:cs="Arial"/>
          <w:sz w:val="20"/>
          <w:szCs w:val="20"/>
        </w:rPr>
        <w:t>i</w:t>
      </w:r>
      <w:r w:rsidRPr="00A16AAB">
        <w:rPr>
          <w:rFonts w:ascii="Titillium" w:hAnsi="Titillium" w:cs="Arial"/>
          <w:sz w:val="20"/>
          <w:szCs w:val="20"/>
        </w:rPr>
        <w:t xml:space="preserve"> od Ministarstva gospodarstva i održivog razvoja </w:t>
      </w:r>
      <w:r>
        <w:rPr>
          <w:rFonts w:ascii="Titillium" w:hAnsi="Titillium" w:cs="Arial"/>
          <w:sz w:val="20"/>
          <w:szCs w:val="20"/>
        </w:rPr>
        <w:t>za</w:t>
      </w:r>
      <w:r w:rsidRPr="00A16AAB">
        <w:rPr>
          <w:rFonts w:ascii="Titillium" w:hAnsi="Titillium" w:cs="Arial"/>
          <w:sz w:val="20"/>
          <w:szCs w:val="20"/>
        </w:rPr>
        <w:t xml:space="preserve"> </w:t>
      </w:r>
      <w:r w:rsidRPr="00A16AAB">
        <w:rPr>
          <w:rFonts w:ascii="Titillium" w:hAnsi="Titillium"/>
          <w:sz w:val="20"/>
          <w:szCs w:val="20"/>
        </w:rPr>
        <w:t xml:space="preserve">troškove </w:t>
      </w:r>
      <w:proofErr w:type="spellStart"/>
      <w:r w:rsidRPr="00A16AAB">
        <w:rPr>
          <w:rFonts w:ascii="Titillium" w:hAnsi="Titillium"/>
          <w:sz w:val="20"/>
          <w:szCs w:val="20"/>
        </w:rPr>
        <w:t>međulaboratorijskih</w:t>
      </w:r>
      <w:proofErr w:type="spellEnd"/>
      <w:r w:rsidRPr="00A16AAB">
        <w:rPr>
          <w:rFonts w:ascii="Titillium" w:hAnsi="Titillium"/>
          <w:sz w:val="20"/>
          <w:szCs w:val="20"/>
        </w:rPr>
        <w:t xml:space="preserve"> usporedbi referentnog laboratorija</w:t>
      </w:r>
      <w:r>
        <w:rPr>
          <w:rFonts w:ascii="Titillium" w:hAnsi="Titillium"/>
          <w:sz w:val="20"/>
          <w:szCs w:val="20"/>
        </w:rPr>
        <w:t>. N</w:t>
      </w:r>
      <w:r>
        <w:rPr>
          <w:rFonts w:ascii="Titillium" w:hAnsi="Titillium" w:cs="Arial"/>
          <w:sz w:val="20"/>
          <w:szCs w:val="20"/>
        </w:rPr>
        <w:t xml:space="preserve">a ovom računu prethodne godine bio je evidentiran iznos od 680.000,00 kn (90.251,81 EUR) koji je primljen za drugu godinu hrvatsko-kineskog bilateralnog projekta koji je u međuvremenu završio. Zbog toga indeks prema ostvarenju prethodne godine iznosi </w:t>
      </w:r>
      <w:r w:rsidR="00C248CA">
        <w:rPr>
          <w:rFonts w:ascii="Titillium" w:hAnsi="Titillium" w:cs="Arial"/>
          <w:sz w:val="20"/>
          <w:szCs w:val="20"/>
        </w:rPr>
        <w:t>6</w:t>
      </w:r>
      <w:r w:rsidR="00614C26">
        <w:rPr>
          <w:rFonts w:ascii="Titillium" w:hAnsi="Titillium" w:cs="Arial"/>
          <w:sz w:val="20"/>
          <w:szCs w:val="20"/>
        </w:rPr>
        <w:t>4</w:t>
      </w:r>
      <w:r>
        <w:rPr>
          <w:rFonts w:ascii="Titillium" w:hAnsi="Titillium" w:cs="Arial"/>
          <w:sz w:val="20"/>
          <w:szCs w:val="20"/>
        </w:rPr>
        <w:t>,</w:t>
      </w:r>
      <w:r w:rsidR="00614C26">
        <w:rPr>
          <w:rFonts w:ascii="Titillium" w:hAnsi="Titillium" w:cs="Arial"/>
          <w:sz w:val="20"/>
          <w:szCs w:val="20"/>
        </w:rPr>
        <w:t>3</w:t>
      </w:r>
      <w:r>
        <w:rPr>
          <w:rFonts w:ascii="Titillium" w:hAnsi="Titillium" w:cs="Arial"/>
          <w:sz w:val="20"/>
          <w:szCs w:val="20"/>
        </w:rPr>
        <w:t xml:space="preserve">. </w:t>
      </w:r>
    </w:p>
    <w:p w:rsidR="00614C26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CB5C56">
        <w:rPr>
          <w:rFonts w:ascii="Titillium" w:hAnsi="Titillium" w:cs="Arial"/>
          <w:sz w:val="20"/>
          <w:szCs w:val="20"/>
        </w:rPr>
        <w:t xml:space="preserve">Na računu 6393 </w:t>
      </w:r>
      <w:r w:rsidRPr="00A16AAB">
        <w:rPr>
          <w:rFonts w:ascii="Titillium" w:hAnsi="Titillium" w:cs="Arial"/>
          <w:sz w:val="20"/>
          <w:szCs w:val="20"/>
        </w:rPr>
        <w:t>evidentiran</w:t>
      </w:r>
      <w:r>
        <w:rPr>
          <w:rFonts w:ascii="Titillium" w:hAnsi="Titillium" w:cs="Arial"/>
          <w:sz w:val="20"/>
          <w:szCs w:val="20"/>
        </w:rPr>
        <w:t xml:space="preserve"> je </w:t>
      </w:r>
      <w:r w:rsidRPr="00A16AAB">
        <w:rPr>
          <w:rFonts w:ascii="Titillium" w:hAnsi="Titillium" w:cs="Arial"/>
          <w:sz w:val="20"/>
          <w:szCs w:val="20"/>
        </w:rPr>
        <w:t>prihod</w:t>
      </w:r>
      <w:r>
        <w:rPr>
          <w:rFonts w:ascii="Titillium" w:hAnsi="Titillium" w:cs="Arial"/>
          <w:sz w:val="20"/>
          <w:szCs w:val="20"/>
        </w:rPr>
        <w:t xml:space="preserve"> u </w:t>
      </w:r>
      <w:r w:rsidRPr="00B067AA">
        <w:rPr>
          <w:rFonts w:ascii="Titillium" w:hAnsi="Titillium" w:cs="Arial"/>
          <w:sz w:val="20"/>
          <w:szCs w:val="20"/>
        </w:rPr>
        <w:t>iznos</w:t>
      </w:r>
      <w:r>
        <w:rPr>
          <w:rFonts w:ascii="Titillium" w:hAnsi="Titillium" w:cs="Arial"/>
          <w:sz w:val="20"/>
          <w:szCs w:val="20"/>
        </w:rPr>
        <w:t>u</w:t>
      </w:r>
      <w:r w:rsidRPr="00B067AA">
        <w:rPr>
          <w:rFonts w:ascii="Titillium" w:hAnsi="Titillium" w:cs="Arial"/>
          <w:sz w:val="20"/>
          <w:szCs w:val="20"/>
        </w:rPr>
        <w:t xml:space="preserve"> od </w:t>
      </w:r>
      <w:r w:rsidR="0058556C">
        <w:rPr>
          <w:rFonts w:ascii="Titillium" w:hAnsi="Titillium" w:cs="Arial"/>
          <w:sz w:val="20"/>
          <w:szCs w:val="20"/>
        </w:rPr>
        <w:t>84</w:t>
      </w:r>
      <w:r>
        <w:rPr>
          <w:rFonts w:ascii="Titillium" w:hAnsi="Titillium" w:cs="Arial"/>
          <w:sz w:val="20"/>
          <w:szCs w:val="20"/>
        </w:rPr>
        <w:t>.</w:t>
      </w:r>
      <w:r w:rsidR="00614C26">
        <w:rPr>
          <w:rFonts w:ascii="Titillium" w:hAnsi="Titillium" w:cs="Arial"/>
          <w:sz w:val="20"/>
          <w:szCs w:val="20"/>
        </w:rPr>
        <w:t>950,75</w:t>
      </w:r>
      <w:r>
        <w:rPr>
          <w:rFonts w:ascii="Titillium" w:hAnsi="Titillium" w:cs="Arial"/>
          <w:sz w:val="20"/>
          <w:szCs w:val="20"/>
        </w:rPr>
        <w:t xml:space="preserve"> EUR </w:t>
      </w:r>
      <w:r w:rsidR="009D2223">
        <w:rPr>
          <w:rFonts w:ascii="Titillium" w:hAnsi="Titillium" w:cs="Arial"/>
          <w:sz w:val="20"/>
          <w:szCs w:val="20"/>
        </w:rPr>
        <w:t>(indeks</w:t>
      </w:r>
      <w:r w:rsidR="00B011AE">
        <w:rPr>
          <w:rFonts w:ascii="Titillium" w:hAnsi="Titillium" w:cs="Arial"/>
          <w:sz w:val="20"/>
          <w:szCs w:val="20"/>
        </w:rPr>
        <w:t xml:space="preserve"> </w:t>
      </w:r>
      <w:r w:rsidR="009D2223">
        <w:rPr>
          <w:rFonts w:ascii="Titillium" w:hAnsi="Titillium" w:cs="Arial"/>
          <w:sz w:val="20"/>
          <w:szCs w:val="20"/>
        </w:rPr>
        <w:t xml:space="preserve">241,10) </w:t>
      </w:r>
      <w:r>
        <w:rPr>
          <w:rFonts w:ascii="Titillium" w:hAnsi="Titillium" w:cs="Arial"/>
          <w:sz w:val="20"/>
          <w:szCs w:val="20"/>
        </w:rPr>
        <w:t xml:space="preserve">primljen od </w:t>
      </w:r>
      <w:r w:rsidRPr="00A16AAB">
        <w:rPr>
          <w:rFonts w:ascii="Titillium" w:hAnsi="Titillium" w:cs="Arial"/>
          <w:sz w:val="20"/>
          <w:szCs w:val="20"/>
        </w:rPr>
        <w:t>Hrvatsk</w:t>
      </w:r>
      <w:r>
        <w:rPr>
          <w:rFonts w:ascii="Titillium" w:hAnsi="Titillium" w:cs="Arial"/>
          <w:sz w:val="20"/>
          <w:szCs w:val="20"/>
        </w:rPr>
        <w:t>e</w:t>
      </w:r>
      <w:r w:rsidRPr="00A16AAB">
        <w:rPr>
          <w:rFonts w:ascii="Titillium" w:hAnsi="Titillium" w:cs="Arial"/>
          <w:sz w:val="20"/>
          <w:szCs w:val="20"/>
        </w:rPr>
        <w:t xml:space="preserve"> zaklad</w:t>
      </w:r>
      <w:r>
        <w:rPr>
          <w:rFonts w:ascii="Titillium" w:hAnsi="Titillium" w:cs="Arial"/>
          <w:sz w:val="20"/>
          <w:szCs w:val="20"/>
        </w:rPr>
        <w:t>e</w:t>
      </w:r>
      <w:r w:rsidRPr="00A16AAB">
        <w:rPr>
          <w:rFonts w:ascii="Titillium" w:hAnsi="Titillium" w:cs="Arial"/>
          <w:sz w:val="20"/>
          <w:szCs w:val="20"/>
        </w:rPr>
        <w:t xml:space="preserve"> za znanost </w:t>
      </w:r>
      <w:r w:rsidR="009D2223">
        <w:rPr>
          <w:rFonts w:ascii="Titillium" w:hAnsi="Titillium" w:cs="Arial"/>
          <w:sz w:val="20"/>
          <w:szCs w:val="20"/>
        </w:rPr>
        <w:t xml:space="preserve">nakon završetka </w:t>
      </w:r>
      <w:r w:rsidRPr="00A16AAB">
        <w:rPr>
          <w:rFonts w:ascii="Titillium" w:hAnsi="Titillium" w:cs="Arial"/>
          <w:sz w:val="20"/>
          <w:szCs w:val="20"/>
        </w:rPr>
        <w:t xml:space="preserve"> projekta </w:t>
      </w:r>
      <w:r>
        <w:rPr>
          <w:rFonts w:ascii="Titillium" w:hAnsi="Titillium" w:cs="Arial"/>
          <w:sz w:val="20"/>
          <w:szCs w:val="20"/>
        </w:rPr>
        <w:t xml:space="preserve">SENDER financiranog iz Europskog socijalnog fonda i razlika za projekt HBM4EU. </w:t>
      </w:r>
    </w:p>
    <w:p w:rsidR="00EA61BB" w:rsidRDefault="00614C26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računu 6394 - Kapitalni p</w:t>
      </w:r>
      <w:r w:rsidRPr="00A16AAB">
        <w:rPr>
          <w:rFonts w:ascii="Titillium" w:hAnsi="Titillium" w:cs="Arial"/>
          <w:sz w:val="20"/>
          <w:szCs w:val="20"/>
        </w:rPr>
        <w:t xml:space="preserve">rijenosi između proračunskih korisnika istog proračuna </w:t>
      </w:r>
      <w:r>
        <w:rPr>
          <w:rFonts w:ascii="Titillium" w:hAnsi="Titillium" w:cs="Arial"/>
          <w:sz w:val="20"/>
          <w:szCs w:val="20"/>
        </w:rPr>
        <w:t xml:space="preserve">temeljem prijenosa EU sredstava </w:t>
      </w:r>
      <w:r w:rsidR="00EA61BB" w:rsidRPr="00FC0310">
        <w:rPr>
          <w:rFonts w:ascii="Titillium" w:hAnsi="Titillium" w:cs="Arial"/>
          <w:sz w:val="20"/>
          <w:szCs w:val="20"/>
        </w:rPr>
        <w:t xml:space="preserve">prethodne godine na ovom računu bila je evidentirana doznaka od 448.598,63 kn </w:t>
      </w:r>
      <w:r w:rsidR="00EA61BB">
        <w:rPr>
          <w:rFonts w:ascii="Titillium" w:hAnsi="Titillium" w:cs="Arial"/>
          <w:sz w:val="20"/>
          <w:szCs w:val="20"/>
        </w:rPr>
        <w:t>(</w:t>
      </w:r>
      <w:r w:rsidR="00EA61BB" w:rsidRPr="00FC0310">
        <w:rPr>
          <w:rFonts w:ascii="Titillium" w:hAnsi="Titillium" w:cs="Arial"/>
          <w:sz w:val="20"/>
          <w:szCs w:val="20"/>
        </w:rPr>
        <w:t>59.539,27 EUR</w:t>
      </w:r>
      <w:r w:rsidR="00EA61BB">
        <w:rPr>
          <w:rFonts w:ascii="Titillium" w:hAnsi="Titillium" w:cs="Arial"/>
          <w:sz w:val="20"/>
          <w:szCs w:val="20"/>
        </w:rPr>
        <w:t>)</w:t>
      </w:r>
      <w:r w:rsidR="00EA61BB" w:rsidRPr="00FC0310">
        <w:rPr>
          <w:rFonts w:ascii="Titillium" w:hAnsi="Titillium" w:cs="Arial"/>
          <w:sz w:val="20"/>
          <w:szCs w:val="20"/>
        </w:rPr>
        <w:t xml:space="preserve">  temeljem rješenja Ministarstva regionalnog razvoja i fondova EU za projekt AIRQ - Proširenje i modernizacija državne mreže za trajno praćenje kvalitete zraka.</w:t>
      </w:r>
    </w:p>
    <w:p w:rsidR="00EA61BB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Na računu 641 evidentirani su prihodi od pozitivnih tečajnih razlika</w:t>
      </w:r>
      <w:r>
        <w:rPr>
          <w:rFonts w:ascii="Titillium" w:hAnsi="Titillium" w:cs="Arial"/>
          <w:sz w:val="20"/>
          <w:szCs w:val="20"/>
        </w:rPr>
        <w:t xml:space="preserve">, </w:t>
      </w:r>
      <w:r w:rsidRPr="00A16AAB">
        <w:rPr>
          <w:rFonts w:ascii="Titillium" w:hAnsi="Titillium" w:cs="Arial"/>
          <w:sz w:val="20"/>
          <w:szCs w:val="20"/>
        </w:rPr>
        <w:t xml:space="preserve">kamata </w:t>
      </w:r>
      <w:r>
        <w:rPr>
          <w:rFonts w:ascii="Titillium" w:hAnsi="Titillium" w:cs="Arial"/>
          <w:sz w:val="20"/>
          <w:szCs w:val="20"/>
        </w:rPr>
        <w:t xml:space="preserve">i dividendi </w:t>
      </w:r>
      <w:r w:rsidRPr="00A16AAB">
        <w:rPr>
          <w:rFonts w:ascii="Titillium" w:hAnsi="Titillium" w:cs="Arial"/>
          <w:sz w:val="20"/>
          <w:szCs w:val="20"/>
        </w:rPr>
        <w:t xml:space="preserve">u iznosu od </w:t>
      </w:r>
      <w:r w:rsidR="009D2223">
        <w:rPr>
          <w:rFonts w:ascii="Titillium" w:hAnsi="Titillium" w:cs="Arial"/>
          <w:sz w:val="20"/>
          <w:szCs w:val="20"/>
        </w:rPr>
        <w:t>12</w:t>
      </w:r>
      <w:r>
        <w:rPr>
          <w:rFonts w:ascii="Titillium" w:hAnsi="Titillium" w:cs="Arial"/>
          <w:sz w:val="20"/>
          <w:szCs w:val="20"/>
        </w:rPr>
        <w:t>.</w:t>
      </w:r>
      <w:r w:rsidR="009D2223">
        <w:rPr>
          <w:rFonts w:ascii="Titillium" w:hAnsi="Titillium" w:cs="Arial"/>
          <w:sz w:val="20"/>
          <w:szCs w:val="20"/>
        </w:rPr>
        <w:t>371,73</w:t>
      </w:r>
      <w:r>
        <w:rPr>
          <w:rFonts w:ascii="Titillium" w:hAnsi="Titillium" w:cs="Arial"/>
          <w:sz w:val="20"/>
          <w:szCs w:val="20"/>
        </w:rPr>
        <w:t xml:space="preserve"> EUR. Evidentirane kamate </w:t>
      </w:r>
      <w:r w:rsidR="004D7DD0">
        <w:rPr>
          <w:rFonts w:ascii="Titillium" w:hAnsi="Titillium" w:cs="Arial"/>
          <w:sz w:val="20"/>
          <w:szCs w:val="20"/>
        </w:rPr>
        <w:t>na računu 6413 veće su od proš</w:t>
      </w:r>
      <w:r>
        <w:rPr>
          <w:rFonts w:ascii="Titillium" w:hAnsi="Titillium" w:cs="Arial"/>
          <w:sz w:val="20"/>
          <w:szCs w:val="20"/>
        </w:rPr>
        <w:t xml:space="preserve">logodišnjih (indeks </w:t>
      </w:r>
      <w:r w:rsidR="009D2223">
        <w:rPr>
          <w:rFonts w:ascii="Titillium" w:hAnsi="Titillium" w:cs="Arial"/>
          <w:sz w:val="20"/>
          <w:szCs w:val="20"/>
        </w:rPr>
        <w:t>147,4</w:t>
      </w:r>
      <w:r>
        <w:rPr>
          <w:rFonts w:ascii="Titillium" w:hAnsi="Titillium" w:cs="Arial"/>
          <w:sz w:val="20"/>
          <w:szCs w:val="20"/>
        </w:rPr>
        <w:t xml:space="preserve">) zbog povećanja kamatnih stopa na depozite u poslovnim bankama. U istom razdoblju prethodne godine na računu 6419 bio je </w:t>
      </w:r>
      <w:r w:rsidRPr="00A16AAB">
        <w:rPr>
          <w:rFonts w:ascii="Titillium" w:hAnsi="Titillium" w:cs="Arial"/>
          <w:sz w:val="20"/>
          <w:szCs w:val="20"/>
        </w:rPr>
        <w:t xml:space="preserve">evidentiran iznos od 30.660,00 kn </w:t>
      </w:r>
      <w:r>
        <w:rPr>
          <w:rFonts w:ascii="Titillium" w:hAnsi="Titillium" w:cs="Arial"/>
          <w:sz w:val="20"/>
          <w:szCs w:val="20"/>
        </w:rPr>
        <w:t xml:space="preserve">(4.069,28 EUR) </w:t>
      </w:r>
      <w:r w:rsidRPr="00A16AAB">
        <w:rPr>
          <w:rFonts w:ascii="Titillium" w:hAnsi="Titillium" w:cs="Arial"/>
          <w:sz w:val="20"/>
          <w:szCs w:val="20"/>
        </w:rPr>
        <w:t>za dionice PBZ-R-A koji je Institutu doznačen od Privredne banke Zagreb d.d. temeljem korporativne akcije Istiskivanje manjinskih dioničara.</w:t>
      </w:r>
      <w:r w:rsidR="004D7DD0">
        <w:rPr>
          <w:rFonts w:ascii="Titillium" w:hAnsi="Titillium" w:cs="Arial"/>
          <w:sz w:val="20"/>
          <w:szCs w:val="20"/>
        </w:rPr>
        <w:t xml:space="preserve"> Na računu 6416 - Prihodi od dividendi evidentirane s</w:t>
      </w:r>
      <w:r w:rsidR="00B011AE">
        <w:rPr>
          <w:rFonts w:ascii="Titillium" w:hAnsi="Titillium" w:cs="Arial"/>
          <w:sz w:val="20"/>
          <w:szCs w:val="20"/>
        </w:rPr>
        <w:t>u</w:t>
      </w:r>
      <w:r w:rsidR="004D7DD0">
        <w:rPr>
          <w:rFonts w:ascii="Titillium" w:hAnsi="Titillium" w:cs="Arial"/>
          <w:sz w:val="20"/>
          <w:szCs w:val="20"/>
        </w:rPr>
        <w:t xml:space="preserve"> dividende ostvarene od dionic</w:t>
      </w:r>
      <w:r w:rsidR="00B011AE">
        <w:rPr>
          <w:rFonts w:ascii="Titillium" w:hAnsi="Titillium" w:cs="Arial"/>
          <w:sz w:val="20"/>
          <w:szCs w:val="20"/>
        </w:rPr>
        <w:t>a</w:t>
      </w:r>
      <w:r w:rsidR="004D7DD0">
        <w:rPr>
          <w:rFonts w:ascii="Titillium" w:hAnsi="Titillium" w:cs="Arial"/>
          <w:sz w:val="20"/>
          <w:szCs w:val="20"/>
        </w:rPr>
        <w:t xml:space="preserve"> u Zagrebačkoj banci.</w:t>
      </w:r>
    </w:p>
    <w:p w:rsidR="004D7DD0" w:rsidRPr="00A16AAB" w:rsidRDefault="004D7DD0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računu 6526 - Prihodi po posebnim propisima </w:t>
      </w:r>
      <w:r w:rsidR="00A33818">
        <w:rPr>
          <w:rFonts w:ascii="Titillium" w:hAnsi="Titillium" w:cs="Arial"/>
          <w:sz w:val="20"/>
          <w:szCs w:val="20"/>
        </w:rPr>
        <w:t xml:space="preserve">(indeks 23,5) </w:t>
      </w:r>
      <w:r w:rsidRPr="00A16AAB">
        <w:rPr>
          <w:rFonts w:ascii="Titillium" w:hAnsi="Titillium" w:cs="Arial"/>
          <w:sz w:val="20"/>
          <w:szCs w:val="20"/>
        </w:rPr>
        <w:t xml:space="preserve">evidentirani su prihodi na temelju refundacije rashoda u iznosu od </w:t>
      </w:r>
      <w:r w:rsidR="00A33818">
        <w:rPr>
          <w:rFonts w:ascii="Titillium" w:hAnsi="Titillium" w:cs="Arial"/>
          <w:sz w:val="20"/>
          <w:szCs w:val="20"/>
        </w:rPr>
        <w:t xml:space="preserve">1.116,84 EUR, pomoć Zaklade HAZU u iznosu od 1.500,00 EUR i prihod od sufinanciranja </w:t>
      </w:r>
      <w:r w:rsidR="00A33818">
        <w:rPr>
          <w:rFonts w:ascii="Titillium" w:hAnsi="Titillium" w:cs="Arial"/>
          <w:sz w:val="20"/>
          <w:szCs w:val="20"/>
        </w:rPr>
        <w:lastRenderedPageBreak/>
        <w:t xml:space="preserve">troškova čajne kuhinje u iznosu od 2.366,00 EUR. Prethodne godine na ovom računu bio je evidentiran iznos od 140.092,93 kn (18.593,53 EUR) primljen od </w:t>
      </w:r>
      <w:r>
        <w:rPr>
          <w:rFonts w:ascii="Titillium" w:hAnsi="Titillium" w:cs="Arial"/>
          <w:sz w:val="20"/>
          <w:szCs w:val="20"/>
        </w:rPr>
        <w:t>Sveučilišta Sjever za rad na zajedničkim projektima</w:t>
      </w:r>
      <w:r w:rsidRPr="00A16AAB">
        <w:rPr>
          <w:rFonts w:ascii="Titillium" w:hAnsi="Titillium" w:cs="Arial"/>
          <w:sz w:val="20"/>
          <w:szCs w:val="20"/>
        </w:rPr>
        <w:t>.</w:t>
      </w:r>
    </w:p>
    <w:p w:rsidR="00EA61BB" w:rsidRPr="00A16AAB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Prihodi od pruženih usluga u iznosu od </w:t>
      </w:r>
      <w:r w:rsidR="00BF3FD2">
        <w:rPr>
          <w:rFonts w:ascii="Titillium" w:hAnsi="Titillium" w:cs="Arial"/>
          <w:sz w:val="20"/>
          <w:szCs w:val="20"/>
        </w:rPr>
        <w:t>1.521.961,01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A16AAB">
        <w:rPr>
          <w:rFonts w:ascii="Titillium" w:hAnsi="Titillium" w:cs="Arial"/>
          <w:sz w:val="20"/>
          <w:szCs w:val="20"/>
        </w:rPr>
        <w:t xml:space="preserve"> evidentirani su na računu 6615.</w:t>
      </w:r>
      <w:r>
        <w:rPr>
          <w:rFonts w:ascii="Titillium" w:hAnsi="Titillium" w:cs="Arial"/>
          <w:sz w:val="20"/>
          <w:szCs w:val="20"/>
        </w:rPr>
        <w:t xml:space="preserve"> U odnosu na prethodnu godinu evidentiran je indeks 9</w:t>
      </w:r>
      <w:r w:rsidR="00BF3FD2">
        <w:rPr>
          <w:rFonts w:ascii="Titillium" w:hAnsi="Titillium" w:cs="Arial"/>
          <w:sz w:val="20"/>
          <w:szCs w:val="20"/>
        </w:rPr>
        <w:t>2</w:t>
      </w:r>
      <w:r>
        <w:rPr>
          <w:rFonts w:ascii="Titillium" w:hAnsi="Titillium" w:cs="Arial"/>
          <w:sz w:val="20"/>
          <w:szCs w:val="20"/>
        </w:rPr>
        <w:t>,</w:t>
      </w:r>
      <w:r w:rsidR="00BF3FD2">
        <w:rPr>
          <w:rFonts w:ascii="Titillium" w:hAnsi="Titillium" w:cs="Arial"/>
          <w:sz w:val="20"/>
          <w:szCs w:val="20"/>
        </w:rPr>
        <w:t>8</w:t>
      </w:r>
      <w:r>
        <w:rPr>
          <w:rFonts w:ascii="Titillium" w:hAnsi="Titillium" w:cs="Arial"/>
          <w:sz w:val="20"/>
          <w:szCs w:val="20"/>
        </w:rPr>
        <w:t xml:space="preserve">. </w:t>
      </w:r>
    </w:p>
    <w:p w:rsidR="00EA61BB" w:rsidRPr="00A16AAB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računu 6631 – donacije evidentiran je prihod od </w:t>
      </w:r>
      <w:r w:rsidR="00BF3FD2">
        <w:rPr>
          <w:rFonts w:ascii="Titillium" w:hAnsi="Titillium" w:cs="Arial"/>
          <w:sz w:val="20"/>
          <w:szCs w:val="20"/>
        </w:rPr>
        <w:t>75</w:t>
      </w:r>
      <w:r>
        <w:rPr>
          <w:rFonts w:ascii="Titillium" w:hAnsi="Titillium" w:cs="Arial"/>
          <w:sz w:val="20"/>
          <w:szCs w:val="20"/>
        </w:rPr>
        <w:t>.</w:t>
      </w:r>
      <w:r w:rsidR="00BF3FD2">
        <w:rPr>
          <w:rFonts w:ascii="Titillium" w:hAnsi="Titillium" w:cs="Arial"/>
          <w:sz w:val="20"/>
          <w:szCs w:val="20"/>
        </w:rPr>
        <w:t>730,80</w:t>
      </w:r>
      <w:r>
        <w:rPr>
          <w:rFonts w:ascii="Titillium" w:hAnsi="Titillium" w:cs="Arial"/>
          <w:sz w:val="20"/>
          <w:szCs w:val="20"/>
        </w:rPr>
        <w:t xml:space="preserve"> EUR</w:t>
      </w:r>
      <w:r w:rsidR="007C4C62">
        <w:rPr>
          <w:rFonts w:ascii="Titillium" w:hAnsi="Titillium" w:cs="Arial"/>
          <w:sz w:val="20"/>
          <w:szCs w:val="20"/>
        </w:rPr>
        <w:t xml:space="preserve"> (indeks 54,5). Razlog smanjenja prihoda je završetak projekta</w:t>
      </w:r>
      <w:r w:rsidRPr="00A16AAB">
        <w:rPr>
          <w:rFonts w:ascii="Titillium" w:hAnsi="Titillium" w:cs="Arial"/>
          <w:sz w:val="20"/>
          <w:szCs w:val="20"/>
        </w:rPr>
        <w:t xml:space="preserve"> </w:t>
      </w:r>
      <w:proofErr w:type="spellStart"/>
      <w:r w:rsidRPr="00A16AAB">
        <w:rPr>
          <w:rFonts w:ascii="Titillium" w:hAnsi="Titillium" w:cs="Arial"/>
          <w:sz w:val="20"/>
          <w:szCs w:val="20"/>
        </w:rPr>
        <w:t>JamINNO</w:t>
      </w:r>
      <w:proofErr w:type="spellEnd"/>
      <w:r w:rsidRPr="00A16AAB">
        <w:rPr>
          <w:rFonts w:ascii="Titillium" w:hAnsi="Titillium" w:cs="Arial"/>
          <w:sz w:val="20"/>
          <w:szCs w:val="20"/>
        </w:rPr>
        <w:t>+</w:t>
      </w:r>
      <w:r w:rsidR="00B011AE">
        <w:rPr>
          <w:rFonts w:ascii="Titillium" w:hAnsi="Titillium" w:cs="Arial"/>
          <w:sz w:val="20"/>
          <w:szCs w:val="20"/>
        </w:rPr>
        <w:t xml:space="preserve"> tijekom</w:t>
      </w:r>
      <w:r w:rsidR="007C4C62">
        <w:rPr>
          <w:rFonts w:ascii="Titillium" w:hAnsi="Titillium" w:cs="Arial"/>
          <w:sz w:val="20"/>
          <w:szCs w:val="20"/>
        </w:rPr>
        <w:t xml:space="preserve"> 2023.</w:t>
      </w:r>
    </w:p>
    <w:p w:rsidR="00EA61BB" w:rsidRDefault="00EA61BB" w:rsidP="00EA61BB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računu 671 evidentirani su prihodi iz nadležnog proračuna za financiranje redovne djelatnosti Instituta u iznosu od </w:t>
      </w:r>
      <w:r w:rsidR="00745DC6">
        <w:rPr>
          <w:rFonts w:ascii="Titillium" w:hAnsi="Titillium" w:cs="Arial"/>
          <w:sz w:val="20"/>
          <w:szCs w:val="20"/>
        </w:rPr>
        <w:t>5</w:t>
      </w:r>
      <w:r>
        <w:rPr>
          <w:rFonts w:ascii="Titillium" w:hAnsi="Titillium" w:cs="Arial"/>
          <w:sz w:val="20"/>
          <w:szCs w:val="20"/>
        </w:rPr>
        <w:t>.</w:t>
      </w:r>
      <w:r w:rsidR="00745DC6">
        <w:rPr>
          <w:rFonts w:ascii="Titillium" w:hAnsi="Titillium" w:cs="Arial"/>
          <w:sz w:val="20"/>
          <w:szCs w:val="20"/>
        </w:rPr>
        <w:t>962</w:t>
      </w:r>
      <w:r>
        <w:rPr>
          <w:rFonts w:ascii="Titillium" w:hAnsi="Titillium" w:cs="Arial"/>
          <w:sz w:val="20"/>
          <w:szCs w:val="20"/>
        </w:rPr>
        <w:t>.</w:t>
      </w:r>
      <w:r w:rsidR="00745DC6">
        <w:rPr>
          <w:rFonts w:ascii="Titillium" w:hAnsi="Titillium" w:cs="Arial"/>
          <w:sz w:val="20"/>
          <w:szCs w:val="20"/>
        </w:rPr>
        <w:t>960,13</w:t>
      </w:r>
      <w:r>
        <w:rPr>
          <w:rFonts w:ascii="Titillium" w:hAnsi="Titillium" w:cs="Arial"/>
          <w:sz w:val="20"/>
          <w:szCs w:val="20"/>
        </w:rPr>
        <w:t xml:space="preserve"> EUR. Od doznačenog iznosa za plaće i </w:t>
      </w:r>
      <w:r w:rsidRPr="00A16AAB">
        <w:rPr>
          <w:rFonts w:ascii="Titillium" w:hAnsi="Titillium" w:cs="Arial"/>
          <w:sz w:val="20"/>
          <w:szCs w:val="20"/>
        </w:rPr>
        <w:t>ostal</w:t>
      </w:r>
      <w:r>
        <w:rPr>
          <w:rFonts w:ascii="Titillium" w:hAnsi="Titillium" w:cs="Arial"/>
          <w:sz w:val="20"/>
          <w:szCs w:val="20"/>
        </w:rPr>
        <w:t>e r</w:t>
      </w:r>
      <w:r w:rsidRPr="00A16AAB">
        <w:rPr>
          <w:rFonts w:ascii="Titillium" w:hAnsi="Titillium" w:cs="Arial"/>
          <w:sz w:val="20"/>
          <w:szCs w:val="20"/>
        </w:rPr>
        <w:t>ashod</w:t>
      </w:r>
      <w:r>
        <w:rPr>
          <w:rFonts w:ascii="Titillium" w:hAnsi="Titillium" w:cs="Arial"/>
          <w:sz w:val="20"/>
          <w:szCs w:val="20"/>
        </w:rPr>
        <w:t>e</w:t>
      </w:r>
      <w:r w:rsidRPr="00A16AAB">
        <w:rPr>
          <w:rFonts w:ascii="Titillium" w:hAnsi="Titillium" w:cs="Arial"/>
          <w:sz w:val="20"/>
          <w:szCs w:val="20"/>
        </w:rPr>
        <w:t xml:space="preserve"> za zaposlene </w:t>
      </w:r>
      <w:r>
        <w:rPr>
          <w:rFonts w:ascii="Titillium" w:hAnsi="Titillium" w:cs="Arial"/>
          <w:sz w:val="20"/>
          <w:szCs w:val="20"/>
        </w:rPr>
        <w:t xml:space="preserve">doznačeno je </w:t>
      </w:r>
      <w:r w:rsidR="00E13B0C">
        <w:rPr>
          <w:rFonts w:ascii="Titillium" w:hAnsi="Titillium" w:cs="Arial"/>
          <w:sz w:val="20"/>
          <w:szCs w:val="20"/>
        </w:rPr>
        <w:t>4</w:t>
      </w:r>
      <w:r>
        <w:rPr>
          <w:rFonts w:ascii="Titillium" w:hAnsi="Titillium" w:cs="Arial"/>
          <w:sz w:val="20"/>
          <w:szCs w:val="20"/>
        </w:rPr>
        <w:t>.</w:t>
      </w:r>
      <w:r w:rsidR="00723D23">
        <w:rPr>
          <w:rFonts w:ascii="Titillium" w:hAnsi="Titillium" w:cs="Arial"/>
          <w:sz w:val="20"/>
          <w:szCs w:val="20"/>
        </w:rPr>
        <w:t>441.505,89</w:t>
      </w:r>
      <w:r>
        <w:rPr>
          <w:rFonts w:ascii="Titillium" w:hAnsi="Titillium" w:cs="Arial"/>
          <w:sz w:val="20"/>
          <w:szCs w:val="20"/>
        </w:rPr>
        <w:t xml:space="preserve"> EUR, za programsko financiranje </w:t>
      </w:r>
      <w:r w:rsidR="00314E9B">
        <w:rPr>
          <w:rFonts w:ascii="Titillium" w:hAnsi="Titillium" w:cs="Arial"/>
          <w:sz w:val="20"/>
          <w:szCs w:val="20"/>
        </w:rPr>
        <w:t>509</w:t>
      </w:r>
      <w:r>
        <w:rPr>
          <w:rFonts w:ascii="Titillium" w:hAnsi="Titillium" w:cs="Arial"/>
          <w:sz w:val="20"/>
          <w:szCs w:val="20"/>
        </w:rPr>
        <w:t>.</w:t>
      </w:r>
      <w:r w:rsidR="00314E9B">
        <w:rPr>
          <w:rFonts w:ascii="Titillium" w:hAnsi="Titillium" w:cs="Arial"/>
          <w:sz w:val="20"/>
          <w:szCs w:val="20"/>
        </w:rPr>
        <w:t>787,34</w:t>
      </w:r>
      <w:r>
        <w:rPr>
          <w:rFonts w:ascii="Titillium" w:hAnsi="Titillium" w:cs="Arial"/>
          <w:sz w:val="20"/>
          <w:szCs w:val="20"/>
        </w:rPr>
        <w:t xml:space="preserve"> EUR, a </w:t>
      </w:r>
      <w:r w:rsidR="00314E9B">
        <w:rPr>
          <w:rFonts w:ascii="Titillium" w:hAnsi="Titillium" w:cs="Arial"/>
          <w:sz w:val="20"/>
          <w:szCs w:val="20"/>
        </w:rPr>
        <w:t>1.011.666,90</w:t>
      </w:r>
      <w:r>
        <w:rPr>
          <w:rFonts w:ascii="Titillium" w:hAnsi="Titillium" w:cs="Arial"/>
          <w:sz w:val="20"/>
          <w:szCs w:val="20"/>
        </w:rPr>
        <w:t xml:space="preserve"> EUR odnosi se na </w:t>
      </w:r>
      <w:r w:rsidRPr="00A16AAB">
        <w:rPr>
          <w:rFonts w:ascii="Titillium" w:hAnsi="Titillium" w:cs="Arial"/>
          <w:sz w:val="20"/>
          <w:szCs w:val="20"/>
        </w:rPr>
        <w:t>sredstva nacionalnog sufinanciranja za projekte financirane iz europskih fondova</w:t>
      </w:r>
      <w:r>
        <w:rPr>
          <w:rFonts w:ascii="Titillium" w:hAnsi="Titillium" w:cs="Arial"/>
          <w:sz w:val="20"/>
          <w:szCs w:val="20"/>
        </w:rPr>
        <w:t>.</w:t>
      </w:r>
    </w:p>
    <w:p w:rsidR="005727AD" w:rsidRPr="00A16AAB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Rashodi poslovanja</w:t>
      </w:r>
      <w:r w:rsidRPr="00A16AAB">
        <w:rPr>
          <w:rFonts w:ascii="Titillium" w:hAnsi="Titillium" w:cs="Arial"/>
          <w:sz w:val="20"/>
          <w:szCs w:val="20"/>
        </w:rPr>
        <w:t xml:space="preserve"> (3) u obračunskom razdoblju iznose </w:t>
      </w:r>
      <w:r>
        <w:rPr>
          <w:rFonts w:ascii="Titillium" w:hAnsi="Titillium" w:cs="Arial"/>
          <w:sz w:val="20"/>
          <w:szCs w:val="20"/>
        </w:rPr>
        <w:t>7.356.651,36 EUR</w:t>
      </w:r>
      <w:r w:rsidRPr="00A16AAB">
        <w:rPr>
          <w:rFonts w:ascii="Titillium" w:hAnsi="Titillium" w:cs="Arial"/>
          <w:sz w:val="20"/>
          <w:szCs w:val="20"/>
        </w:rPr>
        <w:t>, a čine ih:</w:t>
      </w:r>
    </w:p>
    <w:p w:rsidR="005727AD" w:rsidRPr="00A16AAB" w:rsidRDefault="005727AD" w:rsidP="005727AD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Rashodi za zaposlene (31) </w:t>
      </w:r>
      <w:r>
        <w:rPr>
          <w:rFonts w:ascii="Titillium" w:hAnsi="Titillium" w:cs="Arial"/>
          <w:sz w:val="20"/>
          <w:szCs w:val="20"/>
        </w:rPr>
        <w:t>5.385.472,40 EUR</w:t>
      </w:r>
    </w:p>
    <w:p w:rsidR="005727AD" w:rsidRPr="00A16AAB" w:rsidRDefault="005727AD" w:rsidP="005727AD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Materijalni rashodi (32) </w:t>
      </w:r>
      <w:r>
        <w:rPr>
          <w:rFonts w:ascii="Titillium" w:hAnsi="Titillium" w:cs="Arial"/>
          <w:sz w:val="20"/>
          <w:szCs w:val="20"/>
        </w:rPr>
        <w:t>1.927.214,90 EUR</w:t>
      </w:r>
    </w:p>
    <w:p w:rsidR="005727AD" w:rsidRDefault="005727AD" w:rsidP="005727AD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Financijski rashodi (34) </w:t>
      </w:r>
      <w:r>
        <w:rPr>
          <w:rFonts w:ascii="Titillium" w:hAnsi="Titillium" w:cs="Arial"/>
          <w:sz w:val="20"/>
          <w:szCs w:val="20"/>
        </w:rPr>
        <w:t>19.462,32 EUR</w:t>
      </w:r>
    </w:p>
    <w:p w:rsidR="005727AD" w:rsidRDefault="005727AD" w:rsidP="005727AD">
      <w:pPr>
        <w:pStyle w:val="ListParagraph"/>
        <w:numPr>
          <w:ilvl w:val="0"/>
          <w:numId w:val="11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Naknade građanima i kućanstvima (37) </w:t>
      </w:r>
      <w:r>
        <w:rPr>
          <w:rFonts w:ascii="Titillium" w:hAnsi="Titillium" w:cs="Arial"/>
          <w:sz w:val="20"/>
          <w:szCs w:val="20"/>
        </w:rPr>
        <w:t>24.501,74 EUR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Na računu 312 – ostali rashodi za zaposlene evidentirano je </w:t>
      </w:r>
      <w:r w:rsidR="009B38E6">
        <w:rPr>
          <w:rFonts w:ascii="Titillium" w:hAnsi="Titillium" w:cs="Arial"/>
          <w:sz w:val="20"/>
          <w:szCs w:val="20"/>
        </w:rPr>
        <w:t>286</w:t>
      </w:r>
      <w:r>
        <w:rPr>
          <w:rFonts w:ascii="Titillium" w:hAnsi="Titillium" w:cs="Arial"/>
          <w:sz w:val="20"/>
          <w:szCs w:val="20"/>
        </w:rPr>
        <w:t>.</w:t>
      </w:r>
      <w:r w:rsidR="009B38E6">
        <w:rPr>
          <w:rFonts w:ascii="Titillium" w:hAnsi="Titillium" w:cs="Arial"/>
          <w:sz w:val="20"/>
          <w:szCs w:val="20"/>
        </w:rPr>
        <w:t>678,62</w:t>
      </w:r>
      <w:r>
        <w:rPr>
          <w:rFonts w:ascii="Titillium" w:hAnsi="Titillium" w:cs="Arial"/>
          <w:sz w:val="20"/>
          <w:szCs w:val="20"/>
        </w:rPr>
        <w:t xml:space="preserve"> EUR, što je povećanje od </w:t>
      </w:r>
      <w:r w:rsidR="009B38E6">
        <w:rPr>
          <w:rFonts w:ascii="Titillium" w:hAnsi="Titillium" w:cs="Arial"/>
          <w:sz w:val="20"/>
          <w:szCs w:val="20"/>
        </w:rPr>
        <w:t>17,4</w:t>
      </w:r>
      <w:r>
        <w:rPr>
          <w:rFonts w:ascii="Titillium" w:hAnsi="Titillium" w:cs="Arial"/>
          <w:sz w:val="20"/>
          <w:szCs w:val="20"/>
        </w:rPr>
        <w:t>% u odnosu na prethodnu godinu. Razlog je povećanje regresa za korištenje godišnjeg odmora</w:t>
      </w:r>
      <w:r w:rsidR="009B38E6">
        <w:rPr>
          <w:rFonts w:ascii="Titillium" w:hAnsi="Titillium" w:cs="Arial"/>
          <w:sz w:val="20"/>
          <w:szCs w:val="20"/>
        </w:rPr>
        <w:t xml:space="preserve"> i božićnice</w:t>
      </w:r>
      <w:r>
        <w:rPr>
          <w:rFonts w:ascii="Titillium" w:hAnsi="Titillium" w:cs="Arial"/>
          <w:sz w:val="20"/>
          <w:szCs w:val="20"/>
        </w:rPr>
        <w:t xml:space="preserve"> temeljem Odluke Vlade RH i povećanje iznosa neoporezivih isplata.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Ostale naknade troškova zaposlenima na računu 3214 (indeks </w:t>
      </w:r>
      <w:r w:rsidR="009B38E6">
        <w:rPr>
          <w:rFonts w:ascii="Titillium" w:hAnsi="Titillium" w:cs="Arial"/>
          <w:sz w:val="20"/>
          <w:szCs w:val="20"/>
        </w:rPr>
        <w:t>188,9</w:t>
      </w:r>
      <w:r>
        <w:rPr>
          <w:rFonts w:ascii="Titillium" w:hAnsi="Titillium" w:cs="Arial"/>
          <w:sz w:val="20"/>
          <w:szCs w:val="20"/>
        </w:rPr>
        <w:t>) znatno su veće od prošlogodišnjih zbog većeg broja službenih putovanja i zbog povećanja iznosa naknade za korištenje privatnog automobila u službene svrhe.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računima 3222 evidentirano je povećanje (indeks 1</w:t>
      </w:r>
      <w:r w:rsidR="009B38E6">
        <w:rPr>
          <w:rFonts w:ascii="Titillium" w:hAnsi="Titillium" w:cs="Arial"/>
          <w:sz w:val="20"/>
          <w:szCs w:val="20"/>
        </w:rPr>
        <w:t>19,6</w:t>
      </w:r>
      <w:r>
        <w:rPr>
          <w:rFonts w:ascii="Titillium" w:hAnsi="Titillium" w:cs="Arial"/>
          <w:sz w:val="20"/>
          <w:szCs w:val="20"/>
        </w:rPr>
        <w:t>) zbog znatnog povećanja cijena potrošnog laboratorijskog materijala i kemikalija.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Rashodi za energiju na računu 3223 evidentirani su u iznosu od </w:t>
      </w:r>
      <w:r>
        <w:rPr>
          <w:rFonts w:ascii="Titillium" w:hAnsi="Titillium" w:cs="Arial"/>
          <w:sz w:val="20"/>
          <w:szCs w:val="20"/>
        </w:rPr>
        <w:t>1</w:t>
      </w:r>
      <w:r w:rsidR="009B38E6">
        <w:rPr>
          <w:rFonts w:ascii="Titillium" w:hAnsi="Titillium" w:cs="Arial"/>
          <w:sz w:val="20"/>
          <w:szCs w:val="20"/>
        </w:rPr>
        <w:t>62.010,70</w:t>
      </w:r>
      <w:r>
        <w:rPr>
          <w:rFonts w:ascii="Titillium" w:hAnsi="Titillium" w:cs="Arial"/>
          <w:sz w:val="20"/>
          <w:szCs w:val="20"/>
        </w:rPr>
        <w:t xml:space="preserve"> EUR što je manje od prethodne godine (indeks 6</w:t>
      </w:r>
      <w:r w:rsidR="009B38E6">
        <w:rPr>
          <w:rFonts w:ascii="Titillium" w:hAnsi="Titillium" w:cs="Arial"/>
          <w:sz w:val="20"/>
          <w:szCs w:val="20"/>
        </w:rPr>
        <w:t>5,6</w:t>
      </w:r>
      <w:r>
        <w:rPr>
          <w:rFonts w:ascii="Titillium" w:hAnsi="Titillium" w:cs="Arial"/>
          <w:sz w:val="20"/>
          <w:szCs w:val="20"/>
        </w:rPr>
        <w:t>).</w:t>
      </w:r>
      <w:r w:rsidRPr="00A16AAB">
        <w:rPr>
          <w:rFonts w:ascii="Titillium" w:hAnsi="Titillium" w:cs="Arial"/>
          <w:sz w:val="20"/>
          <w:szCs w:val="20"/>
        </w:rPr>
        <w:t xml:space="preserve"> Razlog </w:t>
      </w:r>
      <w:r>
        <w:rPr>
          <w:rFonts w:ascii="Titillium" w:hAnsi="Titillium" w:cs="Arial"/>
          <w:sz w:val="20"/>
          <w:szCs w:val="20"/>
        </w:rPr>
        <w:t>je ograničavanje cijena energenata temeljem paketa mjera kojeg je donijela Vlada RH i završetak građevinskih radova na konstrukcijskoj obnovi glavne zgrade.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Materijal i dijelovi za tekuće i investicijsko održavanje na računu 3224 (indeks 1</w:t>
      </w:r>
      <w:r w:rsidR="009B38E6">
        <w:rPr>
          <w:rFonts w:ascii="Titillium" w:hAnsi="Titillium" w:cs="Arial"/>
          <w:sz w:val="20"/>
          <w:szCs w:val="20"/>
        </w:rPr>
        <w:t>61,9</w:t>
      </w:r>
      <w:r>
        <w:rPr>
          <w:rFonts w:ascii="Titillium" w:hAnsi="Titillium" w:cs="Arial"/>
          <w:sz w:val="20"/>
          <w:szCs w:val="20"/>
        </w:rPr>
        <w:t xml:space="preserve">) i sitni inventar i auto gume (indeks </w:t>
      </w:r>
      <w:r w:rsidR="009B38E6">
        <w:rPr>
          <w:rFonts w:ascii="Titillium" w:hAnsi="Titillium" w:cs="Arial"/>
          <w:sz w:val="20"/>
          <w:szCs w:val="20"/>
        </w:rPr>
        <w:t>135,1</w:t>
      </w:r>
      <w:r>
        <w:rPr>
          <w:rFonts w:ascii="Titillium" w:hAnsi="Titillium" w:cs="Arial"/>
          <w:sz w:val="20"/>
          <w:szCs w:val="20"/>
        </w:rPr>
        <w:t>) na računu 3225 veći su od prošlogodišnjih zbog nabave dodatnog potrošnog materijala, alata i pribora radi preseljenja u novu zgradu.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računu 3231 usluge telefona, pošte i prijevoza evidentirani su </w:t>
      </w:r>
      <w:r>
        <w:rPr>
          <w:rFonts w:ascii="Titillium" w:hAnsi="Titillium" w:cs="Arial"/>
          <w:sz w:val="20"/>
          <w:szCs w:val="20"/>
        </w:rPr>
        <w:t>rashodi manji</w:t>
      </w:r>
      <w:r w:rsidRPr="00A16AAB">
        <w:rPr>
          <w:rFonts w:ascii="Titillium" w:hAnsi="Titillium" w:cs="Arial"/>
          <w:sz w:val="20"/>
          <w:szCs w:val="20"/>
        </w:rPr>
        <w:t xml:space="preserve"> od pr</w:t>
      </w:r>
      <w:r>
        <w:rPr>
          <w:rFonts w:ascii="Titillium" w:hAnsi="Titillium" w:cs="Arial"/>
          <w:sz w:val="20"/>
          <w:szCs w:val="20"/>
        </w:rPr>
        <w:t>ethodne godine</w:t>
      </w:r>
      <w:r w:rsidRPr="00A16AAB">
        <w:rPr>
          <w:rFonts w:ascii="Titillium" w:hAnsi="Titillium" w:cs="Arial"/>
          <w:sz w:val="20"/>
          <w:szCs w:val="20"/>
        </w:rPr>
        <w:t xml:space="preserve"> (indeks </w:t>
      </w:r>
      <w:r w:rsidR="009B38E6">
        <w:rPr>
          <w:rFonts w:ascii="Titillium" w:hAnsi="Titillium" w:cs="Arial"/>
          <w:sz w:val="20"/>
          <w:szCs w:val="20"/>
        </w:rPr>
        <w:t>62,4</w:t>
      </w:r>
      <w:r w:rsidRPr="00A16AAB">
        <w:rPr>
          <w:rFonts w:ascii="Titillium" w:hAnsi="Titillium" w:cs="Arial"/>
          <w:sz w:val="20"/>
          <w:szCs w:val="20"/>
        </w:rPr>
        <w:t xml:space="preserve">) zbog </w:t>
      </w:r>
      <w:r>
        <w:rPr>
          <w:rFonts w:ascii="Titillium" w:hAnsi="Titillium" w:cs="Arial"/>
          <w:sz w:val="20"/>
          <w:szCs w:val="20"/>
        </w:rPr>
        <w:t xml:space="preserve">prošlogodišnjih </w:t>
      </w:r>
      <w:r w:rsidRPr="00A16AAB">
        <w:rPr>
          <w:rFonts w:ascii="Titillium" w:hAnsi="Titillium" w:cs="Arial"/>
          <w:sz w:val="20"/>
          <w:szCs w:val="20"/>
        </w:rPr>
        <w:t>troškova preseljenja namještaja i opreme sa druge lokacije.</w:t>
      </w:r>
    </w:p>
    <w:p w:rsidR="005727AD" w:rsidRDefault="005727AD" w:rsidP="005727AD">
      <w:pPr>
        <w:spacing w:after="0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Troškovi tekućeg i investicijskog održavanja na računu 3232 (indeks 1</w:t>
      </w:r>
      <w:r w:rsidR="009B38E6">
        <w:rPr>
          <w:rFonts w:ascii="Titillium" w:hAnsi="Titillium" w:cs="Arial"/>
          <w:sz w:val="20"/>
          <w:szCs w:val="20"/>
        </w:rPr>
        <w:t>35,5</w:t>
      </w:r>
      <w:r>
        <w:rPr>
          <w:rFonts w:ascii="Titillium" w:hAnsi="Titillium" w:cs="Arial"/>
          <w:sz w:val="20"/>
          <w:szCs w:val="20"/>
        </w:rPr>
        <w:t>) povećani su zbog prilagodbe prostora u novoj zgradi za smještaj i instalaciju nove laboratorijske opreme.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lastRenderedPageBreak/>
        <w:t xml:space="preserve">Na računu 3235 evidentirano je </w:t>
      </w:r>
      <w:r w:rsidR="009B38E6">
        <w:rPr>
          <w:rFonts w:ascii="Titillium" w:hAnsi="Titillium" w:cs="Arial"/>
          <w:sz w:val="20"/>
          <w:szCs w:val="20"/>
        </w:rPr>
        <w:t>69</w:t>
      </w:r>
      <w:r>
        <w:rPr>
          <w:rFonts w:ascii="Titillium" w:hAnsi="Titillium" w:cs="Arial"/>
          <w:sz w:val="20"/>
          <w:szCs w:val="20"/>
        </w:rPr>
        <w:t>.</w:t>
      </w:r>
      <w:r w:rsidR="009B38E6">
        <w:rPr>
          <w:rFonts w:ascii="Titillium" w:hAnsi="Titillium" w:cs="Arial"/>
          <w:sz w:val="20"/>
          <w:szCs w:val="20"/>
        </w:rPr>
        <w:t>651,21</w:t>
      </w:r>
      <w:r>
        <w:rPr>
          <w:rFonts w:ascii="Titillium" w:hAnsi="Titillium" w:cs="Arial"/>
          <w:sz w:val="20"/>
          <w:szCs w:val="20"/>
        </w:rPr>
        <w:t xml:space="preserve"> EUR (indeks </w:t>
      </w:r>
      <w:r w:rsidR="009B38E6">
        <w:rPr>
          <w:rFonts w:ascii="Titillium" w:hAnsi="Titillium" w:cs="Arial"/>
          <w:sz w:val="20"/>
          <w:szCs w:val="20"/>
        </w:rPr>
        <w:t>78,4</w:t>
      </w:r>
      <w:r>
        <w:rPr>
          <w:rFonts w:ascii="Titillium" w:hAnsi="Titillium" w:cs="Arial"/>
          <w:sz w:val="20"/>
          <w:szCs w:val="20"/>
        </w:rPr>
        <w:t>). Za vrijeme trajanja projekta rekonstrukcije i dogradnje Instituta, dio osoblje i opreme bio je privremeno preseljen na drugu lokaciju, zbog čega je u prethodnoj godini na ovom računu bio evidentiran i rashod za najam poslovnog prostora.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Rashodi za z</w:t>
      </w:r>
      <w:r w:rsidRPr="00A16AAB">
        <w:rPr>
          <w:rFonts w:ascii="Titillium" w:hAnsi="Titillium" w:cs="Arial"/>
          <w:sz w:val="20"/>
          <w:szCs w:val="20"/>
        </w:rPr>
        <w:t xml:space="preserve">dravstvene </w:t>
      </w:r>
      <w:r w:rsidR="0017530A">
        <w:rPr>
          <w:rFonts w:ascii="Titillium" w:hAnsi="Titillium" w:cs="Arial"/>
          <w:sz w:val="20"/>
          <w:szCs w:val="20"/>
        </w:rPr>
        <w:t xml:space="preserve">i veterinarske </w:t>
      </w:r>
      <w:r w:rsidRPr="00A16AAB">
        <w:rPr>
          <w:rFonts w:ascii="Titillium" w:hAnsi="Titillium" w:cs="Arial"/>
          <w:sz w:val="20"/>
          <w:szCs w:val="20"/>
        </w:rPr>
        <w:t xml:space="preserve">usluge (3236) su u izvještajnom razdoblju </w:t>
      </w:r>
      <w:r w:rsidR="0017530A">
        <w:rPr>
          <w:rFonts w:ascii="Titillium" w:hAnsi="Titillium" w:cs="Arial"/>
          <w:sz w:val="20"/>
          <w:szCs w:val="20"/>
        </w:rPr>
        <w:t xml:space="preserve">iznose 27.224,71 EUR </w:t>
      </w:r>
      <w:r w:rsidR="0072329C">
        <w:rPr>
          <w:rFonts w:ascii="Titillium" w:hAnsi="Titillium" w:cs="Arial"/>
          <w:sz w:val="20"/>
          <w:szCs w:val="20"/>
        </w:rPr>
        <w:t xml:space="preserve">veći od </w:t>
      </w:r>
      <w:r>
        <w:rPr>
          <w:rFonts w:ascii="Titillium" w:hAnsi="Titillium" w:cs="Arial"/>
          <w:sz w:val="20"/>
          <w:szCs w:val="20"/>
        </w:rPr>
        <w:t xml:space="preserve">prošlogodišnjih </w:t>
      </w:r>
      <w:r w:rsidR="0072329C">
        <w:rPr>
          <w:rFonts w:ascii="Titillium" w:hAnsi="Titillium" w:cs="Arial"/>
          <w:sz w:val="20"/>
          <w:szCs w:val="20"/>
        </w:rPr>
        <w:t>(indeks 205,3</w:t>
      </w:r>
      <w:r w:rsidR="0072329C">
        <w:rPr>
          <w:rFonts w:ascii="Times New Roman" w:hAnsi="Times New Roman" w:cs="Arial"/>
          <w:sz w:val="20"/>
          <w:szCs w:val="20"/>
        </w:rPr>
        <w:t>)</w:t>
      </w:r>
      <w:r w:rsidR="0017530A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 xml:space="preserve">jer </w:t>
      </w:r>
      <w:r w:rsidR="0017530A">
        <w:rPr>
          <w:rFonts w:ascii="Titillium" w:hAnsi="Titillium" w:cs="Arial"/>
          <w:sz w:val="20"/>
          <w:szCs w:val="20"/>
        </w:rPr>
        <w:t>su</w:t>
      </w:r>
      <w:r>
        <w:rPr>
          <w:rFonts w:ascii="Titillium" w:hAnsi="Titillium" w:cs="Arial"/>
          <w:sz w:val="20"/>
          <w:szCs w:val="20"/>
        </w:rPr>
        <w:t xml:space="preserve"> </w:t>
      </w:r>
      <w:r w:rsidR="0017530A">
        <w:rPr>
          <w:rFonts w:ascii="Titillium" w:hAnsi="Titillium" w:cs="Arial"/>
          <w:sz w:val="20"/>
          <w:szCs w:val="20"/>
        </w:rPr>
        <w:t>osim preventivnih zdravstvenih pregleda zaposlenih i veterinarskih usluga na ovom računu evidentirani i rashodi za laboratorijske analize za potrebe HRZZ projekta u iznosu od 12.586,35 EUR kojih prethodne godine nije bilo.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Intelektualne i osobne usluge evidentirane na računu 3237 znatno su manje od prošlogodišnjih (indeks 4</w:t>
      </w:r>
      <w:r w:rsidR="0017530A">
        <w:rPr>
          <w:rFonts w:ascii="Titillium" w:hAnsi="Titillium" w:cs="Arial"/>
          <w:sz w:val="20"/>
          <w:szCs w:val="20"/>
        </w:rPr>
        <w:t>7</w:t>
      </w:r>
      <w:r>
        <w:rPr>
          <w:rFonts w:ascii="Titillium" w:hAnsi="Titillium" w:cs="Arial"/>
          <w:sz w:val="20"/>
          <w:szCs w:val="20"/>
        </w:rPr>
        <w:t>,</w:t>
      </w:r>
      <w:r w:rsidR="0017530A">
        <w:rPr>
          <w:rFonts w:ascii="Titillium" w:hAnsi="Titillium" w:cs="Arial"/>
          <w:sz w:val="20"/>
          <w:szCs w:val="20"/>
        </w:rPr>
        <w:t>0</w:t>
      </w:r>
      <w:r>
        <w:rPr>
          <w:rFonts w:ascii="Titillium" w:hAnsi="Titillium" w:cs="Arial"/>
          <w:sz w:val="20"/>
          <w:szCs w:val="20"/>
        </w:rPr>
        <w:t xml:space="preserve">) jer su tijekom 2022. godine plaćene odvjetničke usluge za rješavanje imovinsko-pravnih odnosa vezanih uz zemljište Instituta i izvedbeni projekt konstrukcijske obnove srednje zgrade. 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Ostale usluge u iznosu </w:t>
      </w:r>
      <w:r w:rsidR="0017530A">
        <w:rPr>
          <w:rFonts w:ascii="Titillium" w:hAnsi="Titillium" w:cs="Arial"/>
          <w:sz w:val="20"/>
          <w:szCs w:val="20"/>
        </w:rPr>
        <w:t>34.006,19</w:t>
      </w:r>
      <w:r>
        <w:rPr>
          <w:rFonts w:ascii="Titillium" w:hAnsi="Titillium" w:cs="Arial"/>
          <w:sz w:val="20"/>
          <w:szCs w:val="20"/>
        </w:rPr>
        <w:t xml:space="preserve"> EUR na računu 3239  manje su od prošlogodišnjih (indeks 5</w:t>
      </w:r>
      <w:r w:rsidR="0017530A">
        <w:rPr>
          <w:rFonts w:ascii="Titillium" w:hAnsi="Titillium" w:cs="Arial"/>
          <w:sz w:val="20"/>
          <w:szCs w:val="20"/>
        </w:rPr>
        <w:t>5,5</w:t>
      </w:r>
      <w:r>
        <w:rPr>
          <w:rFonts w:ascii="Titillium" w:hAnsi="Titillium" w:cs="Arial"/>
          <w:sz w:val="20"/>
          <w:szCs w:val="20"/>
        </w:rPr>
        <w:t>) jer su u istom razdoblju prethodne godine evidentirani veći rashodi za usluge objavljivanja radova, elektronsko izdanje časopisa i zaštitarske usluge.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računu 3293 evidentiran je iznos od 1</w:t>
      </w:r>
      <w:r w:rsidR="0017530A">
        <w:rPr>
          <w:rFonts w:ascii="Titillium" w:hAnsi="Titillium" w:cs="Arial"/>
          <w:sz w:val="20"/>
          <w:szCs w:val="20"/>
        </w:rPr>
        <w:t>7</w:t>
      </w:r>
      <w:r>
        <w:rPr>
          <w:rFonts w:ascii="Titillium" w:hAnsi="Titillium" w:cs="Arial"/>
          <w:sz w:val="20"/>
          <w:szCs w:val="20"/>
        </w:rPr>
        <w:t>.</w:t>
      </w:r>
      <w:r w:rsidR="0017530A">
        <w:rPr>
          <w:rFonts w:ascii="Titillium" w:hAnsi="Titillium" w:cs="Arial"/>
          <w:sz w:val="20"/>
          <w:szCs w:val="20"/>
        </w:rPr>
        <w:t>170,06</w:t>
      </w:r>
      <w:r>
        <w:rPr>
          <w:rFonts w:ascii="Titillium" w:hAnsi="Titillium" w:cs="Arial"/>
          <w:sz w:val="20"/>
          <w:szCs w:val="20"/>
        </w:rPr>
        <w:t xml:space="preserve"> EUR (indeks </w:t>
      </w:r>
      <w:r w:rsidR="0017530A">
        <w:rPr>
          <w:rFonts w:ascii="Titillium" w:hAnsi="Titillium" w:cs="Arial"/>
          <w:sz w:val="20"/>
          <w:szCs w:val="20"/>
        </w:rPr>
        <w:t>146,4</w:t>
      </w:r>
      <w:r>
        <w:rPr>
          <w:rFonts w:ascii="Times New Roman" w:hAnsi="Times New Roman" w:cs="Arial"/>
          <w:sz w:val="20"/>
          <w:szCs w:val="20"/>
        </w:rPr>
        <w:t>)</w:t>
      </w:r>
      <w:r>
        <w:rPr>
          <w:rFonts w:ascii="Titillium" w:hAnsi="Titillium" w:cs="Arial"/>
          <w:sz w:val="20"/>
          <w:szCs w:val="20"/>
        </w:rPr>
        <w:t xml:space="preserve">. </w:t>
      </w:r>
      <w:r w:rsidR="0017530A">
        <w:rPr>
          <w:rFonts w:ascii="Titillium" w:hAnsi="Titillium" w:cs="Arial"/>
          <w:sz w:val="20"/>
          <w:szCs w:val="20"/>
        </w:rPr>
        <w:t>P</w:t>
      </w:r>
      <w:r>
        <w:rPr>
          <w:rFonts w:ascii="Titillium" w:hAnsi="Titillium" w:cs="Arial"/>
          <w:sz w:val="20"/>
          <w:szCs w:val="20"/>
        </w:rPr>
        <w:t xml:space="preserve">ovećanje je nastalo jer je u tekućoj godini organiziran veći broj prigodnih skupova i radnih sastanaka, što je prethodnih godina nije bilo moguće zbog </w:t>
      </w:r>
      <w:proofErr w:type="spellStart"/>
      <w:r>
        <w:rPr>
          <w:rFonts w:ascii="Titillium" w:hAnsi="Titillium" w:cs="Arial"/>
          <w:sz w:val="20"/>
          <w:szCs w:val="20"/>
        </w:rPr>
        <w:t>pandemije</w:t>
      </w:r>
      <w:proofErr w:type="spellEnd"/>
      <w:r>
        <w:rPr>
          <w:rFonts w:ascii="Titillium" w:hAnsi="Titillium" w:cs="Arial"/>
          <w:sz w:val="20"/>
          <w:szCs w:val="20"/>
        </w:rPr>
        <w:t xml:space="preserve">. 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Troškovi sudskih postupaka na računu 3296 (indeks 5</w:t>
      </w:r>
      <w:r w:rsidR="006831E4">
        <w:rPr>
          <w:rFonts w:ascii="Titillium" w:hAnsi="Titillium" w:cs="Arial"/>
          <w:sz w:val="20"/>
          <w:szCs w:val="20"/>
        </w:rPr>
        <w:t>91,5</w:t>
      </w:r>
      <w:r>
        <w:rPr>
          <w:rFonts w:ascii="Titillium" w:hAnsi="Titillium" w:cs="Arial"/>
          <w:sz w:val="20"/>
          <w:szCs w:val="20"/>
        </w:rPr>
        <w:t>) odnose se na veći broj sudskih sporova sa zaposlenicima zbog isplate dodataka na plaću prema Kolektivnom ugovoru.</w:t>
      </w:r>
    </w:p>
    <w:p w:rsidR="006831E4" w:rsidRDefault="006831E4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Na računu 3299 - Ostali nespomenuti rashodi poslovanja </w:t>
      </w:r>
      <w:r w:rsidR="00F54E5A">
        <w:rPr>
          <w:rFonts w:ascii="Titillium" w:hAnsi="Titillium" w:cs="Arial"/>
          <w:sz w:val="20"/>
          <w:szCs w:val="20"/>
        </w:rPr>
        <w:t>evidentiran je iznos od 8.131,83 EUR, što je znatno više u odnosu na prethodnu godinu (indeks 358,1) Razlog je organizacija izleta za partnere na zajedničkom projektu i povrat neutrošenih sredstava po projektima.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Zatezne kamate na računu 3433 u iznosu od </w:t>
      </w:r>
      <w:r w:rsidR="004034D2">
        <w:rPr>
          <w:rFonts w:ascii="Titillium" w:hAnsi="Titillium" w:cs="Arial"/>
          <w:sz w:val="20"/>
          <w:szCs w:val="20"/>
        </w:rPr>
        <w:t>5.303,57 EUR</w:t>
      </w:r>
      <w:r>
        <w:rPr>
          <w:rFonts w:ascii="Titillium" w:hAnsi="Titillium" w:cs="Arial"/>
          <w:sz w:val="20"/>
          <w:szCs w:val="20"/>
        </w:rPr>
        <w:t xml:space="preserve"> (indeks </w:t>
      </w:r>
      <w:r w:rsidR="004034D2">
        <w:rPr>
          <w:rFonts w:ascii="Titillium" w:hAnsi="Titillium" w:cs="Arial"/>
          <w:sz w:val="20"/>
          <w:szCs w:val="20"/>
        </w:rPr>
        <w:t>342,7</w:t>
      </w:r>
      <w:r>
        <w:rPr>
          <w:rFonts w:ascii="Titillium" w:hAnsi="Titillium" w:cs="Arial"/>
          <w:sz w:val="20"/>
          <w:szCs w:val="20"/>
        </w:rPr>
        <w:t xml:space="preserve">) odnose se na isplaćene kamate zaposlenicima temeljem pravomoćnih sudskih presuda u radnim sporovima. </w:t>
      </w:r>
    </w:p>
    <w:p w:rsidR="005727AD" w:rsidRDefault="005727AD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kraju obračunskog razdoblja višak prihoda poslovanja (X001) iznosi </w:t>
      </w:r>
      <w:r w:rsidR="004034D2">
        <w:rPr>
          <w:rFonts w:ascii="Titillium" w:hAnsi="Titillium" w:cs="Arial"/>
          <w:sz w:val="20"/>
          <w:szCs w:val="20"/>
        </w:rPr>
        <w:t>6</w:t>
      </w:r>
      <w:r>
        <w:rPr>
          <w:rFonts w:ascii="Titillium" w:hAnsi="Titillium" w:cs="Arial"/>
          <w:sz w:val="20"/>
          <w:szCs w:val="20"/>
        </w:rPr>
        <w:t>.</w:t>
      </w:r>
      <w:r w:rsidR="004034D2">
        <w:rPr>
          <w:rFonts w:ascii="Titillium" w:hAnsi="Titillium" w:cs="Arial"/>
          <w:sz w:val="20"/>
          <w:szCs w:val="20"/>
        </w:rPr>
        <w:t>071</w:t>
      </w:r>
      <w:r>
        <w:rPr>
          <w:rFonts w:ascii="Titillium" w:hAnsi="Titillium" w:cs="Arial"/>
          <w:sz w:val="20"/>
          <w:szCs w:val="20"/>
        </w:rPr>
        <w:t>.</w:t>
      </w:r>
      <w:r w:rsidR="004034D2">
        <w:rPr>
          <w:rFonts w:ascii="Titillium" w:hAnsi="Titillium" w:cs="Arial"/>
          <w:sz w:val="20"/>
          <w:szCs w:val="20"/>
        </w:rPr>
        <w:t>089,61</w:t>
      </w:r>
      <w:r>
        <w:rPr>
          <w:rFonts w:ascii="Titillium" w:hAnsi="Titillium" w:cs="Arial"/>
          <w:sz w:val="20"/>
          <w:szCs w:val="20"/>
        </w:rPr>
        <w:t xml:space="preserve"> EUR</w:t>
      </w:r>
      <w:r w:rsidRPr="00A16AAB">
        <w:rPr>
          <w:rFonts w:ascii="Titillium" w:hAnsi="Titillium" w:cs="Arial"/>
          <w:sz w:val="20"/>
          <w:szCs w:val="20"/>
        </w:rPr>
        <w:t>.</w:t>
      </w:r>
    </w:p>
    <w:p w:rsidR="004034D2" w:rsidRPr="00A16AAB" w:rsidRDefault="004034D2" w:rsidP="005727AD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19132D" w:rsidRPr="00A16AAB" w:rsidRDefault="0019132D" w:rsidP="0019132D">
      <w:pPr>
        <w:spacing w:after="0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>PRIHODI I RASHODI OD NEFINANCIJSKE IMOVINE</w:t>
      </w:r>
    </w:p>
    <w:p w:rsidR="00750176" w:rsidRPr="00A16AAB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Prihodi</w:t>
      </w:r>
      <w:r w:rsidRPr="00A16AAB">
        <w:rPr>
          <w:rFonts w:ascii="Titillium" w:hAnsi="Titillium" w:cs="Arial"/>
          <w:sz w:val="20"/>
          <w:szCs w:val="20"/>
        </w:rPr>
        <w:t xml:space="preserve"> od prodaje nefinancijske imovine (7) iznose </w:t>
      </w:r>
      <w:r>
        <w:rPr>
          <w:rFonts w:ascii="Titillium" w:hAnsi="Titillium" w:cs="Arial"/>
          <w:sz w:val="20"/>
          <w:szCs w:val="20"/>
        </w:rPr>
        <w:t>51,05 EUR</w:t>
      </w:r>
      <w:r w:rsidRPr="00A16AAB">
        <w:rPr>
          <w:rFonts w:ascii="Titillium" w:hAnsi="Titillium" w:cs="Arial"/>
          <w:sz w:val="20"/>
          <w:szCs w:val="20"/>
        </w:rPr>
        <w:t>, a ostvareni su prodajom stanova na kojima postoji stanarsko pravo</w:t>
      </w:r>
      <w:r>
        <w:rPr>
          <w:rFonts w:ascii="Titillium" w:hAnsi="Titillium" w:cs="Arial"/>
          <w:sz w:val="20"/>
          <w:szCs w:val="20"/>
        </w:rPr>
        <w:t xml:space="preserve"> (račun 7211)</w:t>
      </w:r>
      <w:r w:rsidRPr="00A16AAB">
        <w:rPr>
          <w:rFonts w:ascii="Titillium" w:hAnsi="Titillium" w:cs="Arial"/>
          <w:sz w:val="20"/>
          <w:szCs w:val="20"/>
        </w:rPr>
        <w:t>.</w:t>
      </w:r>
      <w:r>
        <w:rPr>
          <w:rFonts w:ascii="Titillium" w:hAnsi="Titillium" w:cs="Arial"/>
          <w:sz w:val="20"/>
          <w:szCs w:val="20"/>
        </w:rPr>
        <w:t xml:space="preserve"> U odnosu na prošlu godinu indeks je </w:t>
      </w:r>
      <w:r w:rsidR="009850F0">
        <w:rPr>
          <w:rFonts w:ascii="Titillium" w:hAnsi="Titillium" w:cs="Arial"/>
          <w:sz w:val="20"/>
          <w:szCs w:val="20"/>
        </w:rPr>
        <w:t>25,0</w:t>
      </w:r>
      <w:r>
        <w:rPr>
          <w:rFonts w:ascii="Titillium" w:hAnsi="Titillium" w:cs="Arial"/>
          <w:sz w:val="20"/>
          <w:szCs w:val="20"/>
        </w:rPr>
        <w:t xml:space="preserve"> jer je većina stanova već otplaćena.</w:t>
      </w:r>
    </w:p>
    <w:p w:rsidR="00750176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b/>
          <w:sz w:val="20"/>
          <w:szCs w:val="20"/>
        </w:rPr>
        <w:t>Rashodi</w:t>
      </w:r>
      <w:r w:rsidRPr="00A16AAB">
        <w:rPr>
          <w:rFonts w:ascii="Titillium" w:hAnsi="Titillium" w:cs="Arial"/>
          <w:sz w:val="20"/>
          <w:szCs w:val="20"/>
        </w:rPr>
        <w:t xml:space="preserve"> za nabavu nefinancijske imovine (4) u obračunskom razdoblju iznose </w:t>
      </w:r>
      <w:r w:rsidR="009D286F">
        <w:rPr>
          <w:rFonts w:ascii="Titillium" w:hAnsi="Titillium" w:cs="Arial"/>
          <w:sz w:val="20"/>
          <w:szCs w:val="20"/>
        </w:rPr>
        <w:t>3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191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095,31</w:t>
      </w:r>
      <w:r>
        <w:rPr>
          <w:rFonts w:ascii="Titillium" w:hAnsi="Titillium" w:cs="Arial"/>
          <w:sz w:val="20"/>
          <w:szCs w:val="20"/>
        </w:rPr>
        <w:t xml:space="preserve"> EUR. Iznos je znatno manji nego prethodne godine (indeks 20,</w:t>
      </w:r>
      <w:r w:rsidR="009D286F">
        <w:rPr>
          <w:rFonts w:ascii="Titillium" w:hAnsi="Titillium" w:cs="Arial"/>
          <w:sz w:val="20"/>
          <w:szCs w:val="20"/>
        </w:rPr>
        <w:t>2</w:t>
      </w:r>
      <w:r>
        <w:rPr>
          <w:rFonts w:ascii="Titillium" w:hAnsi="Titillium" w:cs="Arial"/>
          <w:sz w:val="20"/>
          <w:szCs w:val="20"/>
        </w:rPr>
        <w:t xml:space="preserve">) jer je tijekom 2022. nabavljena glavnina laboratorijske opreme za potrebe projekta </w:t>
      </w:r>
      <w:r w:rsidRPr="000522A3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Pr="000522A3">
        <w:rPr>
          <w:rFonts w:ascii="Titillium" w:hAnsi="Titillium" w:cs="Arial"/>
          <w:sz w:val="20"/>
          <w:szCs w:val="20"/>
        </w:rPr>
        <w:t xml:space="preserve"> – </w:t>
      </w:r>
      <w:r w:rsidRPr="000522A3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Zagrebu</w:t>
      </w:r>
      <w:r>
        <w:rPr>
          <w:rFonts w:ascii="Titillium" w:hAnsi="Titillium" w:cs="Arial"/>
          <w:i/>
          <w:sz w:val="20"/>
          <w:szCs w:val="20"/>
        </w:rPr>
        <w:t>.</w:t>
      </w:r>
      <w:r>
        <w:rPr>
          <w:rFonts w:ascii="Titillium" w:hAnsi="Titillium" w:cs="Arial"/>
          <w:sz w:val="20"/>
          <w:szCs w:val="20"/>
        </w:rPr>
        <w:t xml:space="preserve"> Iz istog razloga evidentirani su znatno manji rashodi na računima 4224 i 4225.</w:t>
      </w:r>
    </w:p>
    <w:p w:rsidR="00750176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lastRenderedPageBreak/>
        <w:t>Rashodi za uredsku opremu i namještaj na računu 4221 iznose 1.</w:t>
      </w:r>
      <w:r w:rsidR="009D286F">
        <w:rPr>
          <w:rFonts w:ascii="Titillium" w:hAnsi="Titillium" w:cs="Arial"/>
          <w:sz w:val="20"/>
          <w:szCs w:val="20"/>
        </w:rPr>
        <w:t>096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682,5</w:t>
      </w:r>
      <w:r>
        <w:rPr>
          <w:rFonts w:ascii="Titillium" w:hAnsi="Titillium" w:cs="Arial"/>
          <w:sz w:val="20"/>
          <w:szCs w:val="20"/>
        </w:rPr>
        <w:t xml:space="preserve">8 EUR i znatno su veći od prošlogodišnjih (indeks </w:t>
      </w:r>
      <w:r w:rsidR="009D286F">
        <w:rPr>
          <w:rFonts w:ascii="Titillium" w:hAnsi="Titillium" w:cs="Arial"/>
          <w:sz w:val="20"/>
          <w:szCs w:val="20"/>
        </w:rPr>
        <w:t>356,7</w:t>
      </w:r>
      <w:r>
        <w:rPr>
          <w:rFonts w:ascii="Titillium" w:hAnsi="Titillium" w:cs="Arial"/>
          <w:sz w:val="20"/>
          <w:szCs w:val="20"/>
        </w:rPr>
        <w:t xml:space="preserve">) jer je tijekom 2023. godine isporučen uredski i laboratorijski namještaj kao sastavni dio projekta </w:t>
      </w:r>
      <w:r w:rsidRPr="000522A3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Pr="000522A3">
        <w:rPr>
          <w:rFonts w:ascii="Titillium" w:hAnsi="Titillium" w:cs="Arial"/>
          <w:sz w:val="20"/>
          <w:szCs w:val="20"/>
        </w:rPr>
        <w:t xml:space="preserve"> – </w:t>
      </w:r>
      <w:r w:rsidRPr="000522A3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Zagrebu</w:t>
      </w:r>
      <w:r>
        <w:rPr>
          <w:rFonts w:ascii="Titillium" w:hAnsi="Titillium" w:cs="Arial"/>
          <w:i/>
          <w:sz w:val="20"/>
          <w:szCs w:val="20"/>
        </w:rPr>
        <w:t>.</w:t>
      </w:r>
    </w:p>
    <w:p w:rsidR="00750176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Na računu 4222 evidentiran je iznos </w:t>
      </w:r>
      <w:r w:rsidR="009D286F">
        <w:rPr>
          <w:rFonts w:ascii="Titillium" w:hAnsi="Titillium" w:cs="Arial"/>
          <w:sz w:val="20"/>
          <w:szCs w:val="20"/>
        </w:rPr>
        <w:t>15.699,69</w:t>
      </w:r>
      <w:r>
        <w:rPr>
          <w:rFonts w:ascii="Titillium" w:hAnsi="Titillium" w:cs="Arial"/>
          <w:sz w:val="20"/>
          <w:szCs w:val="20"/>
        </w:rPr>
        <w:t xml:space="preserve"> EUR. (indeks </w:t>
      </w:r>
      <w:r w:rsidR="009D286F">
        <w:rPr>
          <w:rFonts w:ascii="Titillium" w:hAnsi="Titillium" w:cs="Arial"/>
          <w:sz w:val="20"/>
          <w:szCs w:val="20"/>
        </w:rPr>
        <w:t>191,6</w:t>
      </w:r>
      <w:r>
        <w:rPr>
          <w:rFonts w:ascii="Titillium" w:hAnsi="Titillium" w:cs="Arial"/>
          <w:sz w:val="20"/>
          <w:szCs w:val="20"/>
        </w:rPr>
        <w:t>) jer je u tekućoj godini nabavljeno nekoliko mobilnih uređaja i sustav za kontrolu pristupa u novoj zgradi.</w:t>
      </w:r>
    </w:p>
    <w:p w:rsidR="00750176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Na računi 4223 evidentiran je iznos 25</w:t>
      </w:r>
      <w:r w:rsidR="009D286F">
        <w:rPr>
          <w:rFonts w:ascii="Titillium" w:hAnsi="Titillium" w:cs="Arial"/>
          <w:sz w:val="20"/>
          <w:szCs w:val="20"/>
        </w:rPr>
        <w:t>7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501,96</w:t>
      </w:r>
      <w:r>
        <w:rPr>
          <w:rFonts w:ascii="Titillium" w:hAnsi="Titillium" w:cs="Arial"/>
          <w:sz w:val="20"/>
          <w:szCs w:val="20"/>
        </w:rPr>
        <w:t xml:space="preserve"> EUR (indeks </w:t>
      </w:r>
      <w:r w:rsidR="009D286F">
        <w:rPr>
          <w:rFonts w:ascii="Titillium" w:hAnsi="Titillium" w:cs="Arial"/>
          <w:sz w:val="20"/>
          <w:szCs w:val="20"/>
        </w:rPr>
        <w:t>504,3</w:t>
      </w:r>
      <w:r>
        <w:rPr>
          <w:rFonts w:ascii="Titillium" w:hAnsi="Titillium" w:cs="Arial"/>
          <w:sz w:val="20"/>
          <w:szCs w:val="20"/>
        </w:rPr>
        <w:t xml:space="preserve">) jer su u okviru Projekta </w:t>
      </w:r>
      <w:r w:rsidRPr="000522A3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Pr="000522A3">
        <w:rPr>
          <w:rFonts w:ascii="Titillium" w:hAnsi="Titillium" w:cs="Arial"/>
          <w:sz w:val="20"/>
          <w:szCs w:val="20"/>
        </w:rPr>
        <w:t xml:space="preserve"> – </w:t>
      </w:r>
      <w:r w:rsidRPr="000522A3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Zagrebu</w:t>
      </w:r>
      <w:r>
        <w:rPr>
          <w:rFonts w:ascii="Titillium" w:hAnsi="Titillium" w:cs="Arial"/>
          <w:i/>
          <w:sz w:val="20"/>
          <w:szCs w:val="20"/>
        </w:rPr>
        <w:t xml:space="preserve"> </w:t>
      </w:r>
      <w:r>
        <w:rPr>
          <w:rFonts w:ascii="Titillium" w:hAnsi="Titillium" w:cs="Arial"/>
          <w:sz w:val="20"/>
          <w:szCs w:val="20"/>
        </w:rPr>
        <w:t>isporučeni digestori u dijelu zgrade koji je bio u rekonstrukciji.</w:t>
      </w:r>
    </w:p>
    <w:p w:rsidR="00750176" w:rsidRPr="00113F9E" w:rsidRDefault="00750176" w:rsidP="00750176">
      <w:pPr>
        <w:spacing w:after="0"/>
        <w:jc w:val="both"/>
        <w:rPr>
          <w:rFonts w:ascii="Titillium" w:hAnsi="Titillium"/>
          <w:sz w:val="20"/>
          <w:szCs w:val="20"/>
        </w:rPr>
      </w:pPr>
      <w:r w:rsidRPr="00113F9E">
        <w:rPr>
          <w:rFonts w:ascii="Titillium" w:hAnsi="Titillium" w:cs="Arial"/>
          <w:sz w:val="20"/>
          <w:szCs w:val="20"/>
        </w:rPr>
        <w:t>Rashodi za dodatna ulaganja na građevinskim objektima</w:t>
      </w:r>
      <w:r w:rsidRPr="00113F9E">
        <w:rPr>
          <w:rFonts w:ascii="Titillium" w:hAnsi="Titillium"/>
          <w:sz w:val="20"/>
          <w:szCs w:val="20"/>
        </w:rPr>
        <w:t xml:space="preserve"> (45) iznos</w:t>
      </w:r>
      <w:r>
        <w:rPr>
          <w:rFonts w:ascii="Titillium" w:hAnsi="Titillium"/>
          <w:sz w:val="20"/>
          <w:szCs w:val="20"/>
        </w:rPr>
        <w:t xml:space="preserve">ili su u izvještajnom razdoblju </w:t>
      </w:r>
      <w:r w:rsidR="009D286F">
        <w:rPr>
          <w:rFonts w:ascii="Titillium" w:hAnsi="Titillium"/>
          <w:sz w:val="20"/>
          <w:szCs w:val="20"/>
        </w:rPr>
        <w:t>1.467.154,33</w:t>
      </w:r>
      <w:r>
        <w:rPr>
          <w:rFonts w:ascii="Titillium" w:hAnsi="Titillium"/>
          <w:sz w:val="20"/>
          <w:szCs w:val="20"/>
        </w:rPr>
        <w:t xml:space="preserve"> EUR</w:t>
      </w:r>
      <w:r w:rsidRPr="00113F9E">
        <w:rPr>
          <w:rFonts w:ascii="Titillium" w:hAnsi="Titillium"/>
          <w:sz w:val="20"/>
          <w:szCs w:val="20"/>
        </w:rPr>
        <w:t xml:space="preserve">. Ovi rashodi vezani su uz provedbu projekta </w:t>
      </w:r>
      <w:r>
        <w:rPr>
          <w:rFonts w:ascii="Titillium" w:hAnsi="Titillium"/>
          <w:sz w:val="20"/>
          <w:szCs w:val="20"/>
        </w:rPr>
        <w:t>rekonstrukcije i dogradnje Instituta i projekta konstrukcijske obnove sjeverne zgrade. Rashodi su manji od prošlogodišnjih (indeks 2</w:t>
      </w:r>
      <w:r w:rsidR="009D286F">
        <w:rPr>
          <w:rFonts w:ascii="Titillium" w:hAnsi="Titillium"/>
          <w:sz w:val="20"/>
          <w:szCs w:val="20"/>
        </w:rPr>
        <w:t>8</w:t>
      </w:r>
      <w:r>
        <w:rPr>
          <w:rFonts w:ascii="Titillium" w:hAnsi="Titillium"/>
          <w:sz w:val="20"/>
          <w:szCs w:val="20"/>
        </w:rPr>
        <w:t>,</w:t>
      </w:r>
      <w:r w:rsidR="009D286F">
        <w:rPr>
          <w:rFonts w:ascii="Titillium" w:hAnsi="Titillium"/>
          <w:sz w:val="20"/>
          <w:szCs w:val="20"/>
        </w:rPr>
        <w:t>1</w:t>
      </w:r>
      <w:r>
        <w:rPr>
          <w:rFonts w:ascii="Titillium" w:hAnsi="Titillium"/>
          <w:sz w:val="20"/>
          <w:szCs w:val="20"/>
        </w:rPr>
        <w:t xml:space="preserve">) jer su građevinski radovi na  projektu </w:t>
      </w:r>
      <w:r w:rsidRPr="00113F9E">
        <w:rPr>
          <w:rFonts w:ascii="Titillium" w:hAnsi="Titillium" w:cs="Arial"/>
          <w:i/>
          <w:sz w:val="20"/>
          <w:szCs w:val="20"/>
        </w:rPr>
        <w:t>Istraživačko-edukacijski centar za zdravstvenu i medicinsku ekologiju i zaštitu od zračenja</w:t>
      </w:r>
      <w:r w:rsidRPr="00113F9E">
        <w:rPr>
          <w:rFonts w:ascii="Titillium" w:hAnsi="Titillium" w:cs="Arial"/>
          <w:sz w:val="20"/>
          <w:szCs w:val="20"/>
        </w:rPr>
        <w:t xml:space="preserve"> – </w:t>
      </w:r>
      <w:r w:rsidRPr="00113F9E">
        <w:rPr>
          <w:rFonts w:ascii="Titillium" w:hAnsi="Titillium" w:cs="Arial"/>
          <w:i/>
          <w:sz w:val="20"/>
          <w:szCs w:val="20"/>
        </w:rPr>
        <w:t>Rekonstrukcija i dogradnja Instituta za medicinska istraživanja i medicinu rada u Zagrebu</w:t>
      </w:r>
      <w:r>
        <w:rPr>
          <w:rFonts w:ascii="Titillium" w:hAnsi="Titillium" w:cs="Arial"/>
          <w:sz w:val="20"/>
          <w:szCs w:val="20"/>
        </w:rPr>
        <w:t xml:space="preserve"> završili</w:t>
      </w:r>
      <w:r>
        <w:rPr>
          <w:rFonts w:ascii="Titillium" w:hAnsi="Titillium" w:cs="Arial"/>
          <w:i/>
          <w:sz w:val="20"/>
          <w:szCs w:val="20"/>
        </w:rPr>
        <w:t>,</w:t>
      </w:r>
      <w:r w:rsidRPr="00113F9E">
        <w:rPr>
          <w:rFonts w:ascii="Titillium" w:hAnsi="Titillium" w:cs="Arial"/>
          <w:sz w:val="20"/>
          <w:szCs w:val="20"/>
        </w:rPr>
        <w:t xml:space="preserve"> a </w:t>
      </w:r>
      <w:r>
        <w:rPr>
          <w:rFonts w:ascii="Titillium" w:hAnsi="Titillium" w:cs="Arial"/>
          <w:sz w:val="20"/>
          <w:szCs w:val="20"/>
        </w:rPr>
        <w:t>projekt konstrukcijske obnove sjeverne zgrade je započeo tijekom 2023. i vrijednosno je znatno manji.</w:t>
      </w:r>
    </w:p>
    <w:p w:rsidR="00750176" w:rsidRPr="00A16AAB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Na kraju obračunskog razdoblja manjak prihoda od nefinancijske imovine (Y002) iznosi </w:t>
      </w:r>
      <w:r w:rsidR="009D286F">
        <w:rPr>
          <w:rFonts w:ascii="Titillium" w:hAnsi="Titillium" w:cs="Arial"/>
          <w:sz w:val="20"/>
          <w:szCs w:val="20"/>
        </w:rPr>
        <w:t>3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191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044,27</w:t>
      </w:r>
      <w:r>
        <w:rPr>
          <w:rFonts w:ascii="Titillium" w:hAnsi="Titillium" w:cs="Arial"/>
          <w:sz w:val="20"/>
          <w:szCs w:val="20"/>
        </w:rPr>
        <w:t xml:space="preserve"> EUR.</w:t>
      </w:r>
    </w:p>
    <w:p w:rsidR="00750176" w:rsidRPr="00A16AAB" w:rsidRDefault="00750176" w:rsidP="00750176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A16AAB">
        <w:rPr>
          <w:rFonts w:ascii="Titillium" w:hAnsi="Titillium" w:cs="Arial"/>
          <w:sz w:val="20"/>
          <w:szCs w:val="20"/>
        </w:rPr>
        <w:t xml:space="preserve">Ukupni </w:t>
      </w:r>
      <w:r>
        <w:rPr>
          <w:rFonts w:ascii="Titillium" w:hAnsi="Titillium" w:cs="Arial"/>
          <w:sz w:val="20"/>
          <w:szCs w:val="20"/>
        </w:rPr>
        <w:t>višak</w:t>
      </w:r>
      <w:r w:rsidRPr="00A16AAB">
        <w:rPr>
          <w:rFonts w:ascii="Titillium" w:hAnsi="Titillium" w:cs="Arial"/>
          <w:sz w:val="20"/>
          <w:szCs w:val="20"/>
        </w:rPr>
        <w:t xml:space="preserve"> prihoda i primitaka u obračunskom razdoblju (</w:t>
      </w:r>
      <w:r>
        <w:rPr>
          <w:rFonts w:ascii="Titillium" w:hAnsi="Titillium" w:cs="Arial"/>
          <w:sz w:val="20"/>
          <w:szCs w:val="20"/>
        </w:rPr>
        <w:t>X</w:t>
      </w:r>
      <w:r w:rsidRPr="00A16AAB">
        <w:rPr>
          <w:rFonts w:ascii="Titillium" w:hAnsi="Titillium" w:cs="Arial"/>
          <w:sz w:val="20"/>
          <w:szCs w:val="20"/>
        </w:rPr>
        <w:t xml:space="preserve">005) iznosi </w:t>
      </w:r>
      <w:r w:rsidR="009D286F">
        <w:rPr>
          <w:rFonts w:ascii="Titillium" w:hAnsi="Titillium" w:cs="Arial"/>
          <w:sz w:val="20"/>
          <w:szCs w:val="20"/>
        </w:rPr>
        <w:t>2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880</w:t>
      </w:r>
      <w:r>
        <w:rPr>
          <w:rFonts w:ascii="Titillium" w:hAnsi="Titillium" w:cs="Arial"/>
          <w:sz w:val="20"/>
          <w:szCs w:val="20"/>
        </w:rPr>
        <w:t>.</w:t>
      </w:r>
      <w:r w:rsidR="009D286F">
        <w:rPr>
          <w:rFonts w:ascii="Titillium" w:hAnsi="Titillium" w:cs="Arial"/>
          <w:sz w:val="20"/>
          <w:szCs w:val="20"/>
        </w:rPr>
        <w:t>045,34</w:t>
      </w:r>
      <w:r>
        <w:rPr>
          <w:rFonts w:ascii="Titillium" w:hAnsi="Titillium" w:cs="Arial"/>
          <w:sz w:val="20"/>
          <w:szCs w:val="20"/>
        </w:rPr>
        <w:t xml:space="preserve"> EUR.</w:t>
      </w:r>
    </w:p>
    <w:p w:rsidR="00790242" w:rsidRPr="00A16AAB" w:rsidRDefault="00790242" w:rsidP="0019132D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8D6A2C" w:rsidRPr="008D6A2C" w:rsidRDefault="008D6A2C" w:rsidP="008D6A2C">
      <w:pPr>
        <w:spacing w:after="0"/>
        <w:ind w:left="36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BILANCA (Obrazac BIL)</w:t>
      </w:r>
    </w:p>
    <w:p w:rsidR="008D6A2C" w:rsidRPr="008D6A2C" w:rsidRDefault="008D6A2C" w:rsidP="008D6A2C">
      <w:pPr>
        <w:spacing w:after="0"/>
        <w:rPr>
          <w:rFonts w:ascii="Titillium" w:hAnsi="Titillium" w:cs="Arial"/>
          <w:sz w:val="20"/>
          <w:szCs w:val="20"/>
        </w:rPr>
      </w:pPr>
    </w:p>
    <w:p w:rsidR="008A6E1D" w:rsidRDefault="00FD09F2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Aktiva i pasiva bilance na dan 01.01.2023. umanjen</w:t>
      </w:r>
      <w:r w:rsidR="003E5789">
        <w:rPr>
          <w:rFonts w:ascii="Titillium" w:hAnsi="Titillium" w:cs="Arial"/>
          <w:sz w:val="20"/>
          <w:szCs w:val="20"/>
        </w:rPr>
        <w:t>e</w:t>
      </w:r>
      <w:r>
        <w:rPr>
          <w:rFonts w:ascii="Titillium" w:hAnsi="Titillium" w:cs="Arial"/>
          <w:sz w:val="20"/>
          <w:szCs w:val="20"/>
        </w:rPr>
        <w:t xml:space="preserve"> su za 0,</w:t>
      </w:r>
      <w:r w:rsidR="00D63BAD">
        <w:rPr>
          <w:rFonts w:ascii="Titillium" w:hAnsi="Titillium" w:cs="Arial"/>
          <w:sz w:val="20"/>
          <w:szCs w:val="20"/>
        </w:rPr>
        <w:t>38</w:t>
      </w:r>
      <w:r>
        <w:rPr>
          <w:rFonts w:ascii="Titillium" w:hAnsi="Titillium" w:cs="Arial"/>
          <w:sz w:val="20"/>
          <w:szCs w:val="20"/>
        </w:rPr>
        <w:t xml:space="preserve"> EUR nastale kao razlika uslijed preračunavanja i zaokruživanja kune u eure primjenom fiksnog tečaja konverzije. Razlika između ukupne vrijednosti imovine te ukupnih obveza i vlastitih izvora su sljedeće: </w:t>
      </w:r>
    </w:p>
    <w:p w:rsidR="00EA3CB5" w:rsidRDefault="00FD09F2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Nabavna vrijednost imovine na razredu 0 u aktivi bilance umanjena je za 0,02 EUR </w:t>
      </w:r>
      <w:r w:rsidR="003E5789">
        <w:rPr>
          <w:rFonts w:ascii="Titillium" w:hAnsi="Titillium" w:cs="Arial"/>
          <w:sz w:val="20"/>
          <w:szCs w:val="20"/>
        </w:rPr>
        <w:t>na dugovnoj strani pripadajuće imovine, a ispravak vrijednosti uvećan je za 0,22 EUR na potražnoj strani pripadajućeg računa ispravka vrijednosti zbog usklađenja sa karticama glavne knjige na razredu 0.</w:t>
      </w:r>
      <w:r w:rsidR="005D2BB9">
        <w:rPr>
          <w:rFonts w:ascii="Titillium" w:hAnsi="Titillium" w:cs="Arial"/>
          <w:sz w:val="20"/>
          <w:szCs w:val="20"/>
        </w:rPr>
        <w:t xml:space="preserve"> </w:t>
      </w:r>
      <w:r w:rsidR="00EA3CB5">
        <w:rPr>
          <w:rFonts w:ascii="Titillium" w:hAnsi="Titillium" w:cs="Arial"/>
          <w:sz w:val="20"/>
          <w:szCs w:val="20"/>
        </w:rPr>
        <w:t xml:space="preserve">Vlastiti izvori na skupini 911 za nefinancijsku imovinu umanjeni su za 0,24 EUR </w:t>
      </w:r>
      <w:r w:rsidR="005D2BB9">
        <w:rPr>
          <w:rFonts w:ascii="Titillium" w:hAnsi="Titillium" w:cs="Arial"/>
          <w:sz w:val="20"/>
          <w:szCs w:val="20"/>
        </w:rPr>
        <w:t>kako bi se zadržala bilančna ravnoteža sa razredom 0 na potražnoj strani.</w:t>
      </w:r>
    </w:p>
    <w:p w:rsidR="00D63BAD" w:rsidRPr="008D6A2C" w:rsidRDefault="005D2BB9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Dugovna strana skupine 16 u aktivi bilance umanjena je za 0,14 EUR zbog prijenosa analitičkog knjigovodstva potraživanja za prihode poslovanja i usklađenja s karticama glavne knjige. Obračunati prihodi poslovanja u pasivi na skupini 96 umanjeni su za 0,14 EUR kako bi postojala bilančna ravnoteža sa skupinom 16.</w:t>
      </w:r>
      <w:r w:rsidR="00D63BAD" w:rsidRPr="008D6A2C">
        <w:rPr>
          <w:rFonts w:ascii="Titillium" w:hAnsi="Titillium" w:cs="Arial"/>
          <w:b/>
          <w:sz w:val="20"/>
          <w:szCs w:val="20"/>
        </w:rPr>
        <w:t>Ukupna imovina</w:t>
      </w:r>
      <w:r w:rsidR="00D63BAD" w:rsidRPr="008D6A2C">
        <w:rPr>
          <w:rFonts w:ascii="Titillium" w:hAnsi="Titillium" w:cs="Arial"/>
          <w:sz w:val="20"/>
          <w:szCs w:val="20"/>
        </w:rPr>
        <w:t xml:space="preserve"> iskazana u bilanci (</w:t>
      </w:r>
      <w:r w:rsidR="00D63BAD">
        <w:rPr>
          <w:rFonts w:ascii="Titillium" w:hAnsi="Titillium" w:cs="Arial"/>
          <w:sz w:val="20"/>
          <w:szCs w:val="20"/>
        </w:rPr>
        <w:t>B</w:t>
      </w:r>
      <w:r w:rsidR="00D63BAD" w:rsidRPr="008D6A2C">
        <w:rPr>
          <w:rFonts w:ascii="Titillium" w:hAnsi="Titillium" w:cs="Arial"/>
          <w:sz w:val="20"/>
          <w:szCs w:val="20"/>
        </w:rPr>
        <w:t xml:space="preserve"> 001) iznosi </w:t>
      </w:r>
      <w:r w:rsidR="00D63BAD">
        <w:rPr>
          <w:rFonts w:ascii="Titillium" w:hAnsi="Titillium" w:cs="Arial"/>
          <w:sz w:val="20"/>
          <w:szCs w:val="20"/>
        </w:rPr>
        <w:t>33</w:t>
      </w:r>
      <w:r w:rsidR="00D63BAD" w:rsidRPr="008D6A2C">
        <w:rPr>
          <w:rFonts w:ascii="Titillium" w:hAnsi="Titillium" w:cs="Arial"/>
          <w:sz w:val="20"/>
          <w:szCs w:val="20"/>
        </w:rPr>
        <w:t>.</w:t>
      </w:r>
      <w:r w:rsidR="00D63BAD">
        <w:rPr>
          <w:rFonts w:ascii="Titillium" w:hAnsi="Titillium" w:cs="Arial"/>
          <w:sz w:val="20"/>
          <w:szCs w:val="20"/>
        </w:rPr>
        <w:t>969</w:t>
      </w:r>
      <w:r w:rsidR="00D63BAD" w:rsidRPr="008D6A2C">
        <w:rPr>
          <w:rFonts w:ascii="Titillium" w:hAnsi="Titillium" w:cs="Arial"/>
          <w:sz w:val="20"/>
          <w:szCs w:val="20"/>
        </w:rPr>
        <w:t>.</w:t>
      </w:r>
      <w:r w:rsidR="00D63BAD">
        <w:rPr>
          <w:rFonts w:ascii="Titillium" w:hAnsi="Titillium" w:cs="Arial"/>
          <w:sz w:val="20"/>
          <w:szCs w:val="20"/>
        </w:rPr>
        <w:t>923,32 EUR</w:t>
      </w:r>
      <w:r w:rsidR="00D63BAD" w:rsidRPr="008D6A2C">
        <w:rPr>
          <w:rFonts w:ascii="Titillium" w:hAnsi="Titillium" w:cs="Arial"/>
          <w:sz w:val="20"/>
          <w:szCs w:val="20"/>
        </w:rPr>
        <w:t>, što odgovara iskazanim obvezama i vlastitim izvorima (</w:t>
      </w:r>
      <w:r w:rsidR="00D63BAD">
        <w:rPr>
          <w:rFonts w:ascii="Titillium" w:hAnsi="Titillium" w:cs="Arial"/>
          <w:sz w:val="20"/>
          <w:szCs w:val="20"/>
        </w:rPr>
        <w:t>B003</w:t>
      </w:r>
      <w:r w:rsidR="00D63BAD" w:rsidRPr="008D6A2C">
        <w:rPr>
          <w:rFonts w:ascii="Titillium" w:hAnsi="Titillium" w:cs="Arial"/>
          <w:sz w:val="20"/>
          <w:szCs w:val="20"/>
        </w:rPr>
        <w:t xml:space="preserve">). </w:t>
      </w:r>
    </w:p>
    <w:p w:rsidR="008D6A2C" w:rsidRPr="008D6A2C" w:rsidRDefault="008D6A2C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lastRenderedPageBreak/>
        <w:t>Nefinancijska imovina</w:t>
      </w:r>
      <w:r w:rsidRPr="008D6A2C">
        <w:rPr>
          <w:rFonts w:ascii="Titillium" w:hAnsi="Titillium" w:cs="Arial"/>
          <w:sz w:val="20"/>
          <w:szCs w:val="20"/>
        </w:rPr>
        <w:t xml:space="preserve"> Instituta na dan 31.12.202</w:t>
      </w:r>
      <w:r w:rsidR="00A1436D">
        <w:rPr>
          <w:rFonts w:ascii="Titillium" w:hAnsi="Titillium" w:cs="Arial"/>
          <w:sz w:val="20"/>
          <w:szCs w:val="20"/>
        </w:rPr>
        <w:t>3</w:t>
      </w:r>
      <w:r w:rsidRPr="008D6A2C">
        <w:rPr>
          <w:rFonts w:ascii="Titillium" w:hAnsi="Titillium" w:cs="Arial"/>
          <w:sz w:val="20"/>
          <w:szCs w:val="20"/>
        </w:rPr>
        <w:t xml:space="preserve">. iznosi </w:t>
      </w:r>
      <w:r w:rsidR="00A1436D">
        <w:rPr>
          <w:rFonts w:ascii="Titillium" w:hAnsi="Titillium" w:cs="Arial"/>
          <w:sz w:val="20"/>
          <w:szCs w:val="20"/>
        </w:rPr>
        <w:t>31.937.167.51 EUR</w:t>
      </w:r>
      <w:r w:rsidRPr="008D6A2C">
        <w:rPr>
          <w:rFonts w:ascii="Titillium" w:hAnsi="Titillium" w:cs="Arial"/>
          <w:sz w:val="20"/>
          <w:szCs w:val="20"/>
        </w:rPr>
        <w:t xml:space="preserve"> (</w:t>
      </w:r>
      <w:r>
        <w:rPr>
          <w:rFonts w:ascii="Titillium" w:hAnsi="Titillium" w:cs="Arial"/>
          <w:sz w:val="20"/>
          <w:szCs w:val="20"/>
        </w:rPr>
        <w:t>B</w:t>
      </w:r>
      <w:r w:rsidRPr="008D6A2C">
        <w:rPr>
          <w:rFonts w:ascii="Titillium" w:hAnsi="Titillium" w:cs="Arial"/>
          <w:sz w:val="20"/>
          <w:szCs w:val="20"/>
        </w:rPr>
        <w:t xml:space="preserve"> 002), a sastoji se od:</w:t>
      </w:r>
    </w:p>
    <w:p w:rsidR="008D6A2C" w:rsidRPr="008D6A2C" w:rsidRDefault="008D6A2C" w:rsidP="008D6A2C">
      <w:pPr>
        <w:pStyle w:val="ListParagraph"/>
        <w:numPr>
          <w:ilvl w:val="0"/>
          <w:numId w:val="6"/>
        </w:num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8D6A2C">
        <w:rPr>
          <w:rFonts w:ascii="Titillium" w:hAnsi="Titillium" w:cs="Arial"/>
          <w:noProof/>
          <w:sz w:val="20"/>
          <w:szCs w:val="20"/>
        </w:rPr>
        <w:t>neproizvedene dugotrajne imovine - zemljište (0</w:t>
      </w:r>
      <w:r>
        <w:rPr>
          <w:rFonts w:ascii="Titillium" w:hAnsi="Titillium" w:cs="Arial"/>
          <w:noProof/>
          <w:sz w:val="20"/>
          <w:szCs w:val="20"/>
        </w:rPr>
        <w:t>1</w:t>
      </w:r>
      <w:r w:rsidRPr="008D6A2C">
        <w:rPr>
          <w:rFonts w:ascii="Titillium" w:hAnsi="Titillium" w:cs="Arial"/>
          <w:noProof/>
          <w:sz w:val="20"/>
          <w:szCs w:val="20"/>
        </w:rPr>
        <w:t xml:space="preserve">) u vrijednosti </w:t>
      </w:r>
      <w:r w:rsidR="00A1436D">
        <w:rPr>
          <w:rFonts w:ascii="Titillium" w:hAnsi="Titillium" w:cs="Arial"/>
          <w:noProof/>
          <w:sz w:val="20"/>
          <w:szCs w:val="20"/>
        </w:rPr>
        <w:t>1.293.068,55 EUR</w:t>
      </w:r>
    </w:p>
    <w:p w:rsidR="008D6A2C" w:rsidRDefault="008D6A2C" w:rsidP="008D6A2C">
      <w:pPr>
        <w:pStyle w:val="ListParagraph"/>
        <w:numPr>
          <w:ilvl w:val="0"/>
          <w:numId w:val="6"/>
        </w:num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proizvedene dugotrajne imovine (0</w:t>
      </w:r>
      <w:r>
        <w:rPr>
          <w:rFonts w:ascii="Titillium" w:hAnsi="Titillium" w:cs="Arial"/>
          <w:sz w:val="20"/>
          <w:szCs w:val="20"/>
        </w:rPr>
        <w:t>2</w:t>
      </w:r>
      <w:r w:rsidRPr="008D6A2C">
        <w:rPr>
          <w:rFonts w:ascii="Titillium" w:hAnsi="Titillium" w:cs="Arial"/>
          <w:sz w:val="20"/>
          <w:szCs w:val="20"/>
        </w:rPr>
        <w:t xml:space="preserve">) u vrijednosti od </w:t>
      </w:r>
      <w:r w:rsidR="00A1436D">
        <w:rPr>
          <w:rFonts w:ascii="Titillium" w:hAnsi="Titillium" w:cs="Arial"/>
          <w:sz w:val="20"/>
          <w:szCs w:val="20"/>
        </w:rPr>
        <w:t>30.592.558,31 EUR</w:t>
      </w:r>
    </w:p>
    <w:p w:rsidR="008D6A2C" w:rsidRPr="00A1436D" w:rsidRDefault="008D6A2C" w:rsidP="00A1436D">
      <w:pPr>
        <w:pStyle w:val="ListParagraph"/>
        <w:numPr>
          <w:ilvl w:val="0"/>
          <w:numId w:val="6"/>
        </w:num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A1436D">
        <w:rPr>
          <w:rFonts w:ascii="Titillium" w:hAnsi="Titillium" w:cs="Arial"/>
          <w:sz w:val="20"/>
          <w:szCs w:val="20"/>
        </w:rPr>
        <w:t xml:space="preserve">dugotrajne nefinancijske imovine u pripremi (05) u vrijednosti od </w:t>
      </w:r>
      <w:r w:rsidR="00A1436D">
        <w:rPr>
          <w:rFonts w:ascii="Titillium" w:hAnsi="Titillium" w:cs="Arial"/>
          <w:sz w:val="20"/>
          <w:szCs w:val="20"/>
        </w:rPr>
        <w:t>51.540,65 EUR</w:t>
      </w:r>
      <w:r w:rsidRPr="00A1436D">
        <w:rPr>
          <w:rFonts w:ascii="Titillium" w:hAnsi="Titillium" w:cs="Arial"/>
          <w:sz w:val="20"/>
          <w:szCs w:val="20"/>
        </w:rPr>
        <w:t>. Iznos evidentiran na računu 05 odnosi se na dosadašnje rashode vezane uz projekt</w:t>
      </w:r>
      <w:r w:rsidR="004F019C">
        <w:rPr>
          <w:rFonts w:ascii="Titillium" w:hAnsi="Titillium" w:cs="Arial"/>
          <w:sz w:val="20"/>
          <w:szCs w:val="20"/>
        </w:rPr>
        <w:t xml:space="preserve"> Konstrukcijska obnova sjeverne zgrade Instituta</w:t>
      </w:r>
      <w:r w:rsidRPr="00A1436D">
        <w:rPr>
          <w:rFonts w:ascii="Titillium" w:hAnsi="Titillium" w:cs="Arial"/>
          <w:i/>
          <w:noProof/>
          <w:sz w:val="20"/>
          <w:szCs w:val="20"/>
        </w:rPr>
        <w:t xml:space="preserve">, </w:t>
      </w:r>
      <w:r w:rsidRPr="00A1436D">
        <w:rPr>
          <w:rFonts w:ascii="Titillium" w:hAnsi="Titillium" w:cs="Arial"/>
          <w:noProof/>
          <w:sz w:val="20"/>
          <w:szCs w:val="20"/>
        </w:rPr>
        <w:t>što uključuje</w:t>
      </w:r>
      <w:r w:rsidRPr="00A1436D">
        <w:rPr>
          <w:rFonts w:ascii="Titillium" w:hAnsi="Titillium" w:cs="Arial"/>
          <w:sz w:val="20"/>
          <w:szCs w:val="20"/>
        </w:rPr>
        <w:t xml:space="preserve"> troškove savjetovanja i </w:t>
      </w:r>
      <w:r w:rsidR="004F019C">
        <w:rPr>
          <w:rFonts w:ascii="Titillium" w:hAnsi="Titillium" w:cs="Arial"/>
          <w:sz w:val="20"/>
          <w:szCs w:val="20"/>
        </w:rPr>
        <w:t>projektantskog nadzora,</w:t>
      </w:r>
      <w:r w:rsidRPr="00A1436D">
        <w:rPr>
          <w:rFonts w:ascii="Titillium" w:hAnsi="Titillium" w:cs="Arial"/>
          <w:sz w:val="20"/>
          <w:szCs w:val="20"/>
        </w:rPr>
        <w:t xml:space="preserve"> građevinske radove i stručni nadzor nad gradnjom</w:t>
      </w:r>
      <w:r w:rsidRPr="00A1436D">
        <w:rPr>
          <w:rFonts w:ascii="Titillium" w:hAnsi="Titillium" w:cs="Arial"/>
          <w:i/>
          <w:noProof/>
          <w:sz w:val="20"/>
          <w:szCs w:val="20"/>
        </w:rPr>
        <w:t xml:space="preserve">. </w:t>
      </w:r>
      <w:r w:rsidRPr="00A1436D">
        <w:rPr>
          <w:rFonts w:ascii="Titillium" w:hAnsi="Titillium" w:cs="Arial"/>
          <w:noProof/>
          <w:sz w:val="20"/>
          <w:szCs w:val="20"/>
        </w:rPr>
        <w:t xml:space="preserve">Financiranje projekta je iz </w:t>
      </w:r>
      <w:r w:rsidR="004F019C">
        <w:rPr>
          <w:rFonts w:ascii="Titillium" w:hAnsi="Titillium" w:cs="Arial"/>
          <w:noProof/>
          <w:sz w:val="20"/>
          <w:szCs w:val="20"/>
        </w:rPr>
        <w:t>F</w:t>
      </w:r>
      <w:r w:rsidRPr="00A1436D">
        <w:rPr>
          <w:rFonts w:ascii="Titillium" w:hAnsi="Titillium" w:cs="Arial"/>
          <w:noProof/>
          <w:sz w:val="20"/>
          <w:szCs w:val="20"/>
        </w:rPr>
        <w:t xml:space="preserve">onda </w:t>
      </w:r>
      <w:r w:rsidR="004F019C">
        <w:rPr>
          <w:rFonts w:ascii="Titillium" w:hAnsi="Titillium" w:cs="Arial"/>
          <w:noProof/>
          <w:sz w:val="20"/>
          <w:szCs w:val="20"/>
        </w:rPr>
        <w:t>solidarnosti EU</w:t>
      </w:r>
      <w:r w:rsidR="00B018E2">
        <w:rPr>
          <w:rFonts w:ascii="Titillium" w:hAnsi="Titillium" w:cs="Arial"/>
          <w:noProof/>
          <w:sz w:val="20"/>
          <w:szCs w:val="20"/>
        </w:rPr>
        <w:t>.</w:t>
      </w:r>
    </w:p>
    <w:p w:rsidR="008D6A2C" w:rsidRPr="008D6A2C" w:rsidRDefault="008D6A2C" w:rsidP="008D6A2C">
      <w:pPr>
        <w:spacing w:after="0"/>
        <w:jc w:val="both"/>
        <w:rPr>
          <w:rFonts w:ascii="Titillium" w:hAnsi="Titillium" w:cs="Arial"/>
          <w:noProof/>
          <w:sz w:val="20"/>
          <w:szCs w:val="20"/>
        </w:rPr>
      </w:pPr>
      <w:r w:rsidRPr="008D6A2C">
        <w:rPr>
          <w:rFonts w:ascii="Titillium" w:hAnsi="Titillium" w:cs="Arial"/>
          <w:b/>
          <w:noProof/>
          <w:sz w:val="20"/>
          <w:szCs w:val="20"/>
        </w:rPr>
        <w:t>Financijska imovina</w:t>
      </w:r>
      <w:r w:rsidRPr="008D6A2C">
        <w:rPr>
          <w:rFonts w:ascii="Titillium" w:hAnsi="Titillium" w:cs="Arial"/>
          <w:noProof/>
          <w:sz w:val="20"/>
          <w:szCs w:val="20"/>
        </w:rPr>
        <w:t xml:space="preserve"> Instituta (</w:t>
      </w:r>
      <w:r w:rsidR="001F2903">
        <w:rPr>
          <w:rFonts w:ascii="Titillium" w:hAnsi="Titillium" w:cs="Arial"/>
          <w:noProof/>
          <w:sz w:val="20"/>
          <w:szCs w:val="20"/>
        </w:rPr>
        <w:t>1</w:t>
      </w:r>
      <w:r w:rsidRPr="008D6A2C">
        <w:rPr>
          <w:rFonts w:ascii="Titillium" w:hAnsi="Titillium" w:cs="Arial"/>
          <w:noProof/>
          <w:sz w:val="20"/>
          <w:szCs w:val="20"/>
        </w:rPr>
        <w:t xml:space="preserve">) iznosi </w:t>
      </w:r>
      <w:r w:rsidR="00B018E2">
        <w:rPr>
          <w:rFonts w:ascii="Titillium" w:hAnsi="Titillium" w:cs="Arial"/>
          <w:noProof/>
          <w:sz w:val="20"/>
          <w:szCs w:val="20"/>
        </w:rPr>
        <w:t>2.032.755,81 EUR</w:t>
      </w:r>
      <w:r w:rsidRPr="008D6A2C">
        <w:rPr>
          <w:rFonts w:ascii="Titillium" w:hAnsi="Titillium" w:cs="Arial"/>
          <w:noProof/>
          <w:sz w:val="20"/>
          <w:szCs w:val="20"/>
        </w:rPr>
        <w:t>, a sastoji se od:</w:t>
      </w:r>
    </w:p>
    <w:p w:rsidR="008D6A2C" w:rsidRPr="008D6A2C" w:rsidRDefault="008D6A2C" w:rsidP="008D6A2C">
      <w:pPr>
        <w:pStyle w:val="ListParagraph"/>
        <w:numPr>
          <w:ilvl w:val="0"/>
          <w:numId w:val="7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noProof/>
          <w:sz w:val="20"/>
          <w:szCs w:val="20"/>
        </w:rPr>
        <w:t xml:space="preserve">Novca </w:t>
      </w:r>
      <w:r w:rsidR="00B018E2">
        <w:rPr>
          <w:rFonts w:ascii="Titillium" w:hAnsi="Titillium" w:cs="Arial"/>
          <w:noProof/>
          <w:sz w:val="20"/>
          <w:szCs w:val="20"/>
        </w:rPr>
        <w:t>u banci i blagajni</w:t>
      </w:r>
      <w:r w:rsidRPr="008D6A2C">
        <w:rPr>
          <w:rFonts w:ascii="Titillium" w:hAnsi="Titillium" w:cs="Arial"/>
          <w:noProof/>
          <w:sz w:val="20"/>
          <w:szCs w:val="20"/>
        </w:rPr>
        <w:t xml:space="preserve"> (</w:t>
      </w:r>
      <w:r w:rsidR="00B018E2">
        <w:rPr>
          <w:rFonts w:ascii="Titillium" w:hAnsi="Titillium" w:cs="Arial"/>
          <w:noProof/>
          <w:sz w:val="20"/>
          <w:szCs w:val="20"/>
        </w:rPr>
        <w:t>11</w:t>
      </w:r>
      <w:r w:rsidRPr="008D6A2C">
        <w:rPr>
          <w:rFonts w:ascii="Titillium" w:hAnsi="Titillium" w:cs="Arial"/>
          <w:noProof/>
          <w:sz w:val="20"/>
          <w:szCs w:val="20"/>
        </w:rPr>
        <w:t xml:space="preserve">) u iznosu od </w:t>
      </w:r>
      <w:r w:rsidR="00B018E2">
        <w:rPr>
          <w:rFonts w:ascii="Titillium" w:hAnsi="Titillium" w:cs="Arial"/>
          <w:noProof/>
          <w:sz w:val="20"/>
          <w:szCs w:val="20"/>
        </w:rPr>
        <w:t>1.520.759,65 EUR</w:t>
      </w:r>
    </w:p>
    <w:p w:rsidR="008D6A2C" w:rsidRPr="008D6A2C" w:rsidRDefault="008D6A2C" w:rsidP="008D6A2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Depozita, </w:t>
      </w:r>
      <w:proofErr w:type="spellStart"/>
      <w:r w:rsidRPr="008D6A2C">
        <w:rPr>
          <w:rFonts w:ascii="Titillium" w:hAnsi="Titillium" w:cs="Arial"/>
          <w:sz w:val="20"/>
          <w:szCs w:val="20"/>
        </w:rPr>
        <w:t>jamčevnih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 pologa i potraživanja za više plaćene poreze</w:t>
      </w:r>
      <w:r w:rsidR="004A6DEA">
        <w:rPr>
          <w:rFonts w:ascii="Titillium" w:hAnsi="Titillium" w:cs="Arial"/>
          <w:sz w:val="20"/>
          <w:szCs w:val="20"/>
        </w:rPr>
        <w:t>, bolovanja i predujmove</w:t>
      </w:r>
      <w:r w:rsidRPr="008D6A2C">
        <w:rPr>
          <w:rFonts w:ascii="Titillium" w:hAnsi="Titillium" w:cs="Arial"/>
          <w:sz w:val="20"/>
          <w:szCs w:val="20"/>
        </w:rPr>
        <w:t xml:space="preserve"> (</w:t>
      </w:r>
      <w:r w:rsidR="00790242">
        <w:rPr>
          <w:rFonts w:ascii="Titillium" w:hAnsi="Titillium" w:cs="Arial"/>
          <w:sz w:val="20"/>
          <w:szCs w:val="20"/>
        </w:rPr>
        <w:t>12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 w:rsidR="00B018E2">
        <w:rPr>
          <w:rFonts w:ascii="Titillium" w:hAnsi="Titillium" w:cs="Arial"/>
          <w:sz w:val="20"/>
          <w:szCs w:val="20"/>
        </w:rPr>
        <w:t>134.736,77 EUR</w:t>
      </w:r>
      <w:r w:rsidRPr="008D6A2C">
        <w:rPr>
          <w:rFonts w:ascii="Titillium" w:hAnsi="Titillium" w:cs="Arial"/>
          <w:sz w:val="20"/>
          <w:szCs w:val="20"/>
        </w:rPr>
        <w:t xml:space="preserve">. Na ovoj grupi računa </w:t>
      </w:r>
      <w:r w:rsidR="007E1F60">
        <w:rPr>
          <w:rFonts w:ascii="Titillium" w:hAnsi="Titillium" w:cs="Arial"/>
          <w:sz w:val="20"/>
          <w:szCs w:val="20"/>
        </w:rPr>
        <w:t xml:space="preserve">(121) </w:t>
      </w:r>
      <w:r w:rsidRPr="008D6A2C">
        <w:rPr>
          <w:rFonts w:ascii="Titillium" w:hAnsi="Titillium" w:cs="Arial"/>
          <w:sz w:val="20"/>
          <w:szCs w:val="20"/>
        </w:rPr>
        <w:t xml:space="preserve">iskazana su potraživanja za depozit kod Komercijalne banke </w:t>
      </w:r>
      <w:r w:rsidR="004A6DEA">
        <w:rPr>
          <w:rFonts w:ascii="Titillium" w:hAnsi="Titillium" w:cs="Arial"/>
          <w:sz w:val="20"/>
          <w:szCs w:val="20"/>
        </w:rPr>
        <w:t>sa</w:t>
      </w:r>
      <w:r w:rsidRPr="008D6A2C">
        <w:rPr>
          <w:rFonts w:ascii="Titillium" w:hAnsi="Titillium" w:cs="Arial"/>
          <w:sz w:val="20"/>
          <w:szCs w:val="20"/>
        </w:rPr>
        <w:t xml:space="preserve"> pripadajućim kamatama u iznosu od </w:t>
      </w:r>
      <w:r w:rsidR="00B018E2">
        <w:rPr>
          <w:rFonts w:ascii="Titillium" w:hAnsi="Titillium" w:cs="Arial"/>
          <w:sz w:val="20"/>
          <w:szCs w:val="20"/>
        </w:rPr>
        <w:t>109.846,94 EUR</w:t>
      </w:r>
      <w:r w:rsidRPr="008D6A2C">
        <w:rPr>
          <w:rFonts w:ascii="Titillium" w:hAnsi="Titillium" w:cs="Arial"/>
          <w:sz w:val="20"/>
          <w:szCs w:val="20"/>
        </w:rPr>
        <w:t xml:space="preserve">. Zbog blokade računa Komercijalne banke, žiro račun je zatvoren, a sredstva su oročena po Ugovoru broj: 83260-1-99. Nad Komercijalnom bankom otvoren je stečajni postupak koji još nije okončan. </w:t>
      </w:r>
      <w:proofErr w:type="spellStart"/>
      <w:r w:rsidRPr="008D6A2C">
        <w:rPr>
          <w:rFonts w:ascii="Titillium" w:hAnsi="Titillium" w:cs="Arial"/>
          <w:sz w:val="20"/>
          <w:szCs w:val="20"/>
        </w:rPr>
        <w:t>Jamčevni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 </w:t>
      </w:r>
      <w:proofErr w:type="spellStart"/>
      <w:r w:rsidRPr="008D6A2C">
        <w:rPr>
          <w:rFonts w:ascii="Titillium" w:hAnsi="Titillium" w:cs="Arial"/>
          <w:sz w:val="20"/>
          <w:szCs w:val="20"/>
        </w:rPr>
        <w:t>polozi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 (</w:t>
      </w:r>
      <w:proofErr w:type="spellStart"/>
      <w:r w:rsidRPr="008D6A2C">
        <w:rPr>
          <w:rFonts w:ascii="Titillium" w:hAnsi="Titillium" w:cs="Arial"/>
          <w:sz w:val="20"/>
          <w:szCs w:val="20"/>
        </w:rPr>
        <w:t>Promacon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), potraživanja za više plaćene poreze i doprinose, potraživanja od HZZO-a za naknade bolovanja, i potraživanja za predujmove evidentirani su na </w:t>
      </w:r>
      <w:r w:rsidR="004A6DEA">
        <w:rPr>
          <w:rFonts w:ascii="Titillium" w:hAnsi="Titillium" w:cs="Arial"/>
          <w:sz w:val="20"/>
          <w:szCs w:val="20"/>
        </w:rPr>
        <w:t>računima 122-129</w:t>
      </w:r>
      <w:r w:rsidRPr="008D6A2C">
        <w:rPr>
          <w:rFonts w:ascii="Titillium" w:hAnsi="Titillium" w:cs="Arial"/>
          <w:sz w:val="20"/>
          <w:szCs w:val="20"/>
        </w:rPr>
        <w:t xml:space="preserve"> u ukupnom iznosu </w:t>
      </w:r>
      <w:r w:rsidR="00F256A4">
        <w:rPr>
          <w:rFonts w:ascii="Titillium" w:hAnsi="Titillium" w:cs="Arial"/>
          <w:sz w:val="20"/>
          <w:szCs w:val="20"/>
        </w:rPr>
        <w:t>24</w:t>
      </w:r>
      <w:r w:rsidRPr="008D6A2C">
        <w:rPr>
          <w:rFonts w:ascii="Titillium" w:hAnsi="Titillium" w:cs="Arial"/>
          <w:sz w:val="20"/>
          <w:szCs w:val="20"/>
        </w:rPr>
        <w:t>.</w:t>
      </w:r>
      <w:r w:rsidR="00F256A4">
        <w:rPr>
          <w:rFonts w:ascii="Titillium" w:hAnsi="Titillium" w:cs="Arial"/>
          <w:sz w:val="20"/>
          <w:szCs w:val="20"/>
        </w:rPr>
        <w:t>889,83 EUR</w:t>
      </w:r>
      <w:r w:rsidR="004A6DEA">
        <w:rPr>
          <w:rFonts w:ascii="Titillium" w:hAnsi="Titillium" w:cs="Arial"/>
          <w:sz w:val="20"/>
          <w:szCs w:val="20"/>
        </w:rPr>
        <w:t>.</w:t>
      </w:r>
    </w:p>
    <w:p w:rsidR="008D6A2C" w:rsidRPr="008D6A2C" w:rsidRDefault="00F256A4" w:rsidP="008D6A2C">
      <w:pPr>
        <w:pStyle w:val="ListParagraph"/>
        <w:numPr>
          <w:ilvl w:val="0"/>
          <w:numId w:val="7"/>
        </w:numPr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Prethodn</w:t>
      </w:r>
      <w:r w:rsidR="00637F35">
        <w:rPr>
          <w:rFonts w:ascii="Titillium" w:hAnsi="Titillium" w:cs="Arial"/>
          <w:sz w:val="20"/>
          <w:szCs w:val="20"/>
        </w:rPr>
        <w:t>e</w:t>
      </w:r>
      <w:r>
        <w:rPr>
          <w:rFonts w:ascii="Titillium" w:hAnsi="Titillium" w:cs="Arial"/>
          <w:sz w:val="20"/>
          <w:szCs w:val="20"/>
        </w:rPr>
        <w:t xml:space="preserve"> godin</w:t>
      </w:r>
      <w:r w:rsidR="00637F35">
        <w:rPr>
          <w:rFonts w:ascii="Titillium" w:hAnsi="Titillium" w:cs="Arial"/>
          <w:sz w:val="20"/>
          <w:szCs w:val="20"/>
        </w:rPr>
        <w:t>e</w:t>
      </w:r>
      <w:r>
        <w:rPr>
          <w:rFonts w:ascii="Titillium" w:hAnsi="Titillium" w:cs="Arial"/>
          <w:sz w:val="20"/>
          <w:szCs w:val="20"/>
        </w:rPr>
        <w:t xml:space="preserve"> na grupi računa 14 bile su </w:t>
      </w:r>
      <w:r w:rsidRPr="008D6A2C">
        <w:rPr>
          <w:rFonts w:ascii="Titillium" w:hAnsi="Titillium" w:cs="Arial"/>
          <w:sz w:val="20"/>
          <w:szCs w:val="20"/>
        </w:rPr>
        <w:t>evidentirane obveznice RH izdane temeljem Zakona o pretvaranju deviznih depozita građana u javni dug RH (nakon izvršenog zakonskog namjenskog izdvajanja)</w:t>
      </w:r>
      <w:r w:rsidR="00637F35">
        <w:rPr>
          <w:rFonts w:ascii="Titillium" w:hAnsi="Titillium" w:cs="Arial"/>
          <w:sz w:val="20"/>
          <w:szCs w:val="20"/>
        </w:rPr>
        <w:t xml:space="preserve"> </w:t>
      </w:r>
      <w:r w:rsidR="008D6A2C" w:rsidRPr="008D6A2C">
        <w:rPr>
          <w:rFonts w:ascii="Titillium" w:hAnsi="Titillium" w:cs="Arial"/>
          <w:sz w:val="20"/>
          <w:szCs w:val="20"/>
        </w:rPr>
        <w:t>u iznosu od 1</w:t>
      </w:r>
      <w:r>
        <w:rPr>
          <w:rFonts w:ascii="Titillium" w:hAnsi="Titillium" w:cs="Arial"/>
          <w:sz w:val="20"/>
          <w:szCs w:val="20"/>
        </w:rPr>
        <w:t>917,22 EUR</w:t>
      </w:r>
      <w:r w:rsidR="008D6A2C" w:rsidRPr="008D6A2C">
        <w:rPr>
          <w:rFonts w:ascii="Titillium" w:hAnsi="Titillium" w:cs="Arial"/>
          <w:sz w:val="20"/>
          <w:szCs w:val="20"/>
        </w:rPr>
        <w:t xml:space="preserve">. </w:t>
      </w:r>
      <w:r>
        <w:rPr>
          <w:rFonts w:ascii="Titillium" w:hAnsi="Titillium" w:cs="Arial"/>
          <w:sz w:val="20"/>
          <w:szCs w:val="20"/>
        </w:rPr>
        <w:t xml:space="preserve">Prema preporuci Državnog ureda za reviziju </w:t>
      </w:r>
      <w:r w:rsidR="00637F35">
        <w:rPr>
          <w:rFonts w:ascii="Titillium" w:hAnsi="Titillium" w:cs="Arial"/>
          <w:sz w:val="20"/>
          <w:szCs w:val="20"/>
        </w:rPr>
        <w:t xml:space="preserve">umjesto obveznica iskazano je potraživanja od Republike Hrvatske na ime uplaćenih deviznih sredstava za stanove na kojima je postojalo stanarsko pravo, te je isto </w:t>
      </w:r>
      <w:proofErr w:type="spellStart"/>
      <w:r w:rsidR="00637F35">
        <w:rPr>
          <w:rFonts w:ascii="Titillium" w:hAnsi="Titillium" w:cs="Arial"/>
          <w:sz w:val="20"/>
          <w:szCs w:val="20"/>
        </w:rPr>
        <w:t>preknjiženo</w:t>
      </w:r>
      <w:proofErr w:type="spellEnd"/>
      <w:r w:rsidR="00637F35">
        <w:rPr>
          <w:rFonts w:ascii="Titillium" w:hAnsi="Titillium" w:cs="Arial"/>
          <w:sz w:val="20"/>
          <w:szCs w:val="20"/>
        </w:rPr>
        <w:t xml:space="preserve"> na grupu računa16.</w:t>
      </w:r>
      <w:r w:rsidR="008D6A2C" w:rsidRPr="008D6A2C">
        <w:rPr>
          <w:rFonts w:ascii="Titillium" w:hAnsi="Titillium" w:cs="Arial"/>
          <w:sz w:val="20"/>
          <w:szCs w:val="20"/>
        </w:rPr>
        <w:t xml:space="preserve"> </w:t>
      </w:r>
    </w:p>
    <w:p w:rsidR="008D6A2C" w:rsidRPr="00AF535A" w:rsidRDefault="008D6A2C" w:rsidP="00822C9C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7E72DA">
        <w:rPr>
          <w:rFonts w:ascii="Titillium" w:hAnsi="Titillium" w:cs="Arial"/>
          <w:sz w:val="20"/>
          <w:szCs w:val="20"/>
        </w:rPr>
        <w:t>Dionica i udjela u glavnici (</w:t>
      </w:r>
      <w:r w:rsidR="002672B9" w:rsidRPr="007E72DA">
        <w:rPr>
          <w:rFonts w:ascii="Titillium" w:hAnsi="Titillium" w:cs="Arial"/>
          <w:sz w:val="20"/>
          <w:szCs w:val="20"/>
        </w:rPr>
        <w:t>15</w:t>
      </w:r>
      <w:r w:rsidRPr="007E72DA">
        <w:rPr>
          <w:rFonts w:ascii="Titillium" w:hAnsi="Titillium" w:cs="Arial"/>
          <w:sz w:val="20"/>
          <w:szCs w:val="20"/>
        </w:rPr>
        <w:t xml:space="preserve">) u ukupnom iznosu od </w:t>
      </w:r>
      <w:r w:rsidR="0034733D">
        <w:rPr>
          <w:rFonts w:ascii="Titillium" w:hAnsi="Titillium" w:cs="Arial"/>
          <w:sz w:val="20"/>
          <w:szCs w:val="20"/>
        </w:rPr>
        <w:t>78.531,62 EUR</w:t>
      </w:r>
      <w:r w:rsidRPr="007E72DA">
        <w:rPr>
          <w:rFonts w:ascii="Titillium" w:hAnsi="Titillium" w:cs="Arial"/>
          <w:sz w:val="20"/>
          <w:szCs w:val="20"/>
        </w:rPr>
        <w:t xml:space="preserve">. Iznos evidentiran na skupini računa 15 odnosi se na uplaćeni temeljni kapital za osnivanje trgovačkog društva </w:t>
      </w:r>
      <w:r w:rsidRPr="007E72DA">
        <w:rPr>
          <w:rFonts w:ascii="Titillium" w:hAnsi="Titillium" w:cs="Arial"/>
          <w:i/>
          <w:sz w:val="20"/>
          <w:szCs w:val="20"/>
        </w:rPr>
        <w:t>Medicina rada instituta za medicinska istraživanja i medicinu rada</w:t>
      </w:r>
      <w:r w:rsidRPr="007E72DA">
        <w:rPr>
          <w:rFonts w:ascii="Titillium" w:hAnsi="Titillium" w:cs="Arial"/>
          <w:sz w:val="20"/>
          <w:szCs w:val="20"/>
        </w:rPr>
        <w:t xml:space="preserve"> u iznosu od 2</w:t>
      </w:r>
      <w:r w:rsidR="0034733D">
        <w:rPr>
          <w:rFonts w:ascii="Titillium" w:hAnsi="Titillium" w:cs="Arial"/>
          <w:sz w:val="20"/>
          <w:szCs w:val="20"/>
        </w:rPr>
        <w:t>.654,46 EUR</w:t>
      </w:r>
      <w:r w:rsidRPr="007E72DA">
        <w:rPr>
          <w:rFonts w:ascii="Titillium" w:hAnsi="Titillium" w:cs="Arial"/>
          <w:sz w:val="20"/>
          <w:szCs w:val="20"/>
        </w:rPr>
        <w:t xml:space="preserve"> (</w:t>
      </w:r>
      <w:r w:rsidR="002672B9" w:rsidRPr="007E72DA">
        <w:rPr>
          <w:rFonts w:ascii="Titillium" w:hAnsi="Titillium" w:cs="Arial"/>
          <w:sz w:val="20"/>
          <w:szCs w:val="20"/>
        </w:rPr>
        <w:t>1521</w:t>
      </w:r>
      <w:r w:rsidRPr="007E72DA">
        <w:rPr>
          <w:rFonts w:ascii="Titillium" w:hAnsi="Titillium" w:cs="Arial"/>
          <w:sz w:val="20"/>
          <w:szCs w:val="20"/>
        </w:rPr>
        <w:t xml:space="preserve">), udio u glavnici kod HTP Matija Gubec Donja Stubica u vrijednosti od </w:t>
      </w:r>
      <w:r w:rsidR="0034733D">
        <w:rPr>
          <w:rFonts w:ascii="Titillium" w:hAnsi="Titillium" w:cs="Arial"/>
          <w:sz w:val="20"/>
          <w:szCs w:val="20"/>
        </w:rPr>
        <w:t>6.052,16</w:t>
      </w:r>
      <w:r w:rsidRPr="007E72DA">
        <w:rPr>
          <w:rFonts w:ascii="Titillium" w:hAnsi="Titillium" w:cs="Arial"/>
          <w:sz w:val="20"/>
          <w:szCs w:val="20"/>
        </w:rPr>
        <w:t xml:space="preserve"> </w:t>
      </w:r>
      <w:r w:rsidR="00810711">
        <w:rPr>
          <w:rFonts w:ascii="Titillium" w:hAnsi="Titillium" w:cs="Arial"/>
          <w:sz w:val="20"/>
          <w:szCs w:val="20"/>
        </w:rPr>
        <w:t>EUR</w:t>
      </w:r>
      <w:r w:rsidRPr="007E72DA">
        <w:rPr>
          <w:rFonts w:ascii="Titillium" w:hAnsi="Titillium" w:cs="Arial"/>
          <w:sz w:val="20"/>
          <w:szCs w:val="20"/>
        </w:rPr>
        <w:t xml:space="preserve"> (</w:t>
      </w:r>
      <w:r w:rsidR="002672B9" w:rsidRPr="007E72DA">
        <w:rPr>
          <w:rFonts w:ascii="Titillium" w:hAnsi="Titillium" w:cs="Arial"/>
          <w:sz w:val="20"/>
          <w:szCs w:val="20"/>
        </w:rPr>
        <w:t>1541-</w:t>
      </w:r>
      <w:r w:rsidR="00191CD6" w:rsidRPr="007E72DA">
        <w:rPr>
          <w:rFonts w:ascii="Titillium" w:hAnsi="Titillium" w:cs="Arial"/>
          <w:sz w:val="20"/>
          <w:szCs w:val="20"/>
        </w:rPr>
        <w:t>159</w:t>
      </w:r>
      <w:r w:rsidRPr="007E72DA">
        <w:rPr>
          <w:rFonts w:ascii="Titillium" w:hAnsi="Titillium" w:cs="Arial"/>
          <w:sz w:val="20"/>
          <w:szCs w:val="20"/>
        </w:rPr>
        <w:t>) koje je Institutu dodijelio Hrvatski fond za privatizaciju i ud</w:t>
      </w:r>
      <w:r w:rsidR="00810711">
        <w:rPr>
          <w:rFonts w:ascii="Titillium" w:hAnsi="Titillium" w:cs="Arial"/>
          <w:sz w:val="20"/>
          <w:szCs w:val="20"/>
        </w:rPr>
        <w:t>io</w:t>
      </w:r>
      <w:r w:rsidRPr="007E72DA">
        <w:rPr>
          <w:rFonts w:ascii="Titillium" w:hAnsi="Titillium" w:cs="Arial"/>
          <w:sz w:val="20"/>
          <w:szCs w:val="20"/>
        </w:rPr>
        <w:t xml:space="preserve"> u glavnici u osnivačkim fondovima Zagrebačke banke u iznosu</w:t>
      </w:r>
      <w:r w:rsidR="00810711">
        <w:rPr>
          <w:rFonts w:ascii="Titillium" w:hAnsi="Titillium" w:cs="Arial"/>
          <w:sz w:val="20"/>
          <w:szCs w:val="20"/>
        </w:rPr>
        <w:t xml:space="preserve"> tržišne vrijednosti</w:t>
      </w:r>
      <w:r w:rsidRPr="007E72DA">
        <w:rPr>
          <w:rFonts w:ascii="Titillium" w:hAnsi="Titillium" w:cs="Arial"/>
          <w:sz w:val="20"/>
          <w:szCs w:val="20"/>
        </w:rPr>
        <w:t xml:space="preserve"> </w:t>
      </w:r>
      <w:r w:rsidRPr="00AF535A">
        <w:rPr>
          <w:rFonts w:ascii="Titillium" w:hAnsi="Titillium" w:cs="Arial"/>
          <w:sz w:val="20"/>
          <w:szCs w:val="20"/>
        </w:rPr>
        <w:t xml:space="preserve">od </w:t>
      </w:r>
      <w:r w:rsidR="00810711">
        <w:rPr>
          <w:rFonts w:ascii="Titillium" w:hAnsi="Titillium" w:cs="Arial"/>
          <w:sz w:val="20"/>
          <w:szCs w:val="20"/>
        </w:rPr>
        <w:t>69.825,00 EUR</w:t>
      </w:r>
      <w:r w:rsidRPr="00AF535A">
        <w:rPr>
          <w:rFonts w:ascii="Titillium" w:hAnsi="Titillium" w:cs="Arial"/>
          <w:sz w:val="20"/>
          <w:szCs w:val="20"/>
        </w:rPr>
        <w:t xml:space="preserve"> (</w:t>
      </w:r>
      <w:r w:rsidR="00191CD6" w:rsidRPr="00AF535A">
        <w:rPr>
          <w:rFonts w:ascii="Titillium" w:hAnsi="Titillium" w:cs="Arial"/>
          <w:sz w:val="20"/>
          <w:szCs w:val="20"/>
        </w:rPr>
        <w:t>1531</w:t>
      </w:r>
      <w:r w:rsidRPr="00AF535A">
        <w:rPr>
          <w:rFonts w:ascii="Titillium" w:hAnsi="Titillium" w:cs="Arial"/>
          <w:sz w:val="20"/>
          <w:szCs w:val="20"/>
        </w:rPr>
        <w:t>).</w:t>
      </w:r>
      <w:r w:rsidR="007E72DA" w:rsidRPr="00AF535A">
        <w:rPr>
          <w:rFonts w:ascii="Titillium" w:hAnsi="Titillium" w:cs="Arial"/>
          <w:sz w:val="20"/>
          <w:szCs w:val="20"/>
        </w:rPr>
        <w:t xml:space="preserve"> </w:t>
      </w:r>
      <w:r w:rsidRPr="00AF535A">
        <w:rPr>
          <w:rFonts w:ascii="Titillium" w:hAnsi="Titillium" w:cs="Arial"/>
          <w:color w:val="000000"/>
          <w:sz w:val="20"/>
          <w:szCs w:val="20"/>
        </w:rPr>
        <w:t>Potraživanja za prihode poslovanja (</w:t>
      </w:r>
      <w:r w:rsidR="00191CD6" w:rsidRPr="00AF535A">
        <w:rPr>
          <w:rFonts w:ascii="Titillium" w:hAnsi="Titillium" w:cs="Arial"/>
          <w:color w:val="000000"/>
          <w:sz w:val="20"/>
          <w:szCs w:val="20"/>
        </w:rPr>
        <w:t>166-169</w:t>
      </w:r>
      <w:r w:rsidRPr="00AF535A">
        <w:rPr>
          <w:rFonts w:ascii="Titillium" w:hAnsi="Titillium" w:cs="Arial"/>
          <w:color w:val="000000"/>
          <w:sz w:val="20"/>
          <w:szCs w:val="20"/>
        </w:rPr>
        <w:t xml:space="preserve">) iznose </w:t>
      </w:r>
      <w:r w:rsidR="00810711">
        <w:rPr>
          <w:rFonts w:ascii="Titillium" w:hAnsi="Titillium" w:cs="Arial"/>
          <w:color w:val="000000"/>
          <w:sz w:val="20"/>
          <w:szCs w:val="20"/>
        </w:rPr>
        <w:t>302.862,71 EUR</w:t>
      </w:r>
      <w:r w:rsidRPr="00AF535A">
        <w:rPr>
          <w:rFonts w:ascii="Titillium" w:hAnsi="Titillium" w:cs="Arial"/>
          <w:color w:val="000000"/>
          <w:sz w:val="20"/>
          <w:szCs w:val="20"/>
        </w:rPr>
        <w:t xml:space="preserve"> a čine ih potraživanja od kupaca za pružene usluge.</w:t>
      </w:r>
    </w:p>
    <w:p w:rsidR="008D6A2C" w:rsidRPr="008D6A2C" w:rsidRDefault="008D6A2C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Ukupne obveze</w:t>
      </w:r>
      <w:r w:rsidRPr="008D6A2C">
        <w:rPr>
          <w:rFonts w:ascii="Titillium" w:hAnsi="Titillium" w:cs="Arial"/>
          <w:sz w:val="20"/>
          <w:szCs w:val="20"/>
        </w:rPr>
        <w:t xml:space="preserve"> (</w:t>
      </w:r>
      <w:r w:rsidR="00B378FF">
        <w:rPr>
          <w:rFonts w:ascii="Titillium" w:hAnsi="Titillium" w:cs="Arial"/>
          <w:sz w:val="20"/>
          <w:szCs w:val="20"/>
        </w:rPr>
        <w:t>2</w:t>
      </w:r>
      <w:r w:rsidRPr="008D6A2C">
        <w:rPr>
          <w:rFonts w:ascii="Titillium" w:hAnsi="Titillium" w:cs="Arial"/>
          <w:sz w:val="20"/>
          <w:szCs w:val="20"/>
        </w:rPr>
        <w:t xml:space="preserve">) na kraju proračunske godine iznose </w:t>
      </w:r>
      <w:r w:rsidR="002D1A98">
        <w:rPr>
          <w:rFonts w:ascii="Titillium" w:hAnsi="Titillium" w:cs="Arial"/>
          <w:sz w:val="20"/>
          <w:szCs w:val="20"/>
        </w:rPr>
        <w:t>328.148,07 EUR</w:t>
      </w:r>
      <w:r w:rsidRPr="008D6A2C">
        <w:rPr>
          <w:rFonts w:ascii="Titillium" w:hAnsi="Titillium" w:cs="Arial"/>
          <w:sz w:val="20"/>
          <w:szCs w:val="20"/>
        </w:rPr>
        <w:t xml:space="preserve"> a odnose se na obveze za rashode poslovanja i obveze za nabavu nefinancijske imovine:</w:t>
      </w:r>
    </w:p>
    <w:p w:rsidR="008D6A2C" w:rsidRPr="008D6A2C" w:rsidRDefault="008D6A2C" w:rsidP="008D6A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Obveze prema dobavljačima potrošnog materijala, davateljima usluga i za financijske rashode (</w:t>
      </w:r>
      <w:r w:rsidR="008430E6">
        <w:rPr>
          <w:rFonts w:ascii="Titillium" w:hAnsi="Titillium" w:cs="Arial"/>
          <w:sz w:val="20"/>
          <w:szCs w:val="20"/>
        </w:rPr>
        <w:t>232</w:t>
      </w:r>
      <w:r w:rsidRPr="008D6A2C">
        <w:rPr>
          <w:rFonts w:ascii="Titillium" w:hAnsi="Titillium" w:cs="Arial"/>
          <w:sz w:val="20"/>
          <w:szCs w:val="20"/>
        </w:rPr>
        <w:t xml:space="preserve"> i </w:t>
      </w:r>
      <w:r w:rsidR="008430E6">
        <w:rPr>
          <w:rFonts w:ascii="Titillium" w:hAnsi="Titillium" w:cs="Arial"/>
          <w:sz w:val="20"/>
          <w:szCs w:val="20"/>
        </w:rPr>
        <w:t>234</w:t>
      </w:r>
      <w:r w:rsidRPr="008D6A2C">
        <w:rPr>
          <w:rFonts w:ascii="Titillium" w:hAnsi="Titillium" w:cs="Arial"/>
          <w:sz w:val="20"/>
          <w:szCs w:val="20"/>
        </w:rPr>
        <w:t xml:space="preserve">) </w:t>
      </w:r>
      <w:r w:rsidR="002D1A98">
        <w:rPr>
          <w:rFonts w:ascii="Titillium" w:hAnsi="Titillium" w:cs="Arial"/>
          <w:sz w:val="20"/>
          <w:szCs w:val="20"/>
        </w:rPr>
        <w:t>25.357,11 EUR</w:t>
      </w:r>
      <w:r w:rsidRPr="008D6A2C">
        <w:rPr>
          <w:rFonts w:ascii="Titillium" w:hAnsi="Titillium" w:cs="Arial"/>
          <w:sz w:val="20"/>
          <w:szCs w:val="20"/>
        </w:rPr>
        <w:t>.</w:t>
      </w:r>
    </w:p>
    <w:p w:rsidR="008D6A2C" w:rsidRPr="008D6A2C" w:rsidRDefault="008D6A2C" w:rsidP="008D6A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Ostale tekuće obveze (</w:t>
      </w:r>
      <w:r w:rsidR="005A7588">
        <w:rPr>
          <w:rFonts w:ascii="Titillium" w:hAnsi="Titillium" w:cs="Arial"/>
          <w:sz w:val="20"/>
          <w:szCs w:val="20"/>
        </w:rPr>
        <w:t>239</w:t>
      </w:r>
      <w:r w:rsidRPr="008D6A2C">
        <w:rPr>
          <w:rFonts w:ascii="Titillium" w:hAnsi="Titillium" w:cs="Arial"/>
          <w:sz w:val="20"/>
          <w:szCs w:val="20"/>
        </w:rPr>
        <w:t xml:space="preserve">) u ukupnom iznosu od </w:t>
      </w:r>
      <w:r w:rsidR="002D1A98">
        <w:rPr>
          <w:rFonts w:ascii="Titillium" w:hAnsi="Titillium" w:cs="Arial"/>
          <w:sz w:val="20"/>
          <w:szCs w:val="20"/>
        </w:rPr>
        <w:t>146.023,94 EUR</w:t>
      </w:r>
      <w:r w:rsidRPr="008D6A2C">
        <w:rPr>
          <w:rFonts w:ascii="Titillium" w:hAnsi="Titillium" w:cs="Arial"/>
          <w:sz w:val="20"/>
          <w:szCs w:val="20"/>
        </w:rPr>
        <w:t>, koje čine obveze za PDV po obračunu, obveze za jamčevine, obveze za naknade bolovanja na teret HZZO</w:t>
      </w:r>
      <w:r w:rsidR="002D1A98">
        <w:rPr>
          <w:rFonts w:ascii="Titillium" w:hAnsi="Titillium" w:cs="Arial"/>
          <w:sz w:val="20"/>
          <w:szCs w:val="20"/>
        </w:rPr>
        <w:t xml:space="preserve"> </w:t>
      </w:r>
      <w:r w:rsidRPr="008D6A2C">
        <w:rPr>
          <w:rFonts w:ascii="Titillium" w:hAnsi="Titillium" w:cs="Arial"/>
          <w:sz w:val="20"/>
          <w:szCs w:val="20"/>
        </w:rPr>
        <w:t>i obveze po KOPP-u</w:t>
      </w:r>
      <w:r w:rsidR="005A7588">
        <w:rPr>
          <w:rFonts w:ascii="Titillium" w:hAnsi="Titillium" w:cs="Arial"/>
          <w:sz w:val="20"/>
          <w:szCs w:val="20"/>
        </w:rPr>
        <w:t>.</w:t>
      </w:r>
    </w:p>
    <w:p w:rsidR="008D6A2C" w:rsidRDefault="008D6A2C" w:rsidP="008D6A2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Obveze za nabavu nefinancijske imovine (</w:t>
      </w:r>
      <w:r w:rsidR="005A7588">
        <w:rPr>
          <w:rFonts w:ascii="Titillium" w:hAnsi="Titillium" w:cs="Arial"/>
          <w:sz w:val="20"/>
          <w:szCs w:val="20"/>
        </w:rPr>
        <w:t>24</w:t>
      </w:r>
      <w:r w:rsidRPr="008D6A2C">
        <w:rPr>
          <w:rFonts w:ascii="Titillium" w:hAnsi="Titillium" w:cs="Arial"/>
          <w:sz w:val="20"/>
          <w:szCs w:val="20"/>
        </w:rPr>
        <w:t xml:space="preserve">) iznose </w:t>
      </w:r>
      <w:r w:rsidR="00EA79A8">
        <w:rPr>
          <w:rFonts w:ascii="Titillium" w:hAnsi="Titillium" w:cs="Arial"/>
          <w:sz w:val="20"/>
          <w:szCs w:val="20"/>
        </w:rPr>
        <w:t>1</w:t>
      </w:r>
      <w:r w:rsidR="00900D0D">
        <w:rPr>
          <w:rFonts w:ascii="Titillium" w:hAnsi="Titillium" w:cs="Arial"/>
          <w:sz w:val="20"/>
          <w:szCs w:val="20"/>
        </w:rPr>
        <w:t>56</w:t>
      </w:r>
      <w:r w:rsidR="00EA79A8">
        <w:rPr>
          <w:rFonts w:ascii="Titillium" w:hAnsi="Titillium" w:cs="Arial"/>
          <w:sz w:val="20"/>
          <w:szCs w:val="20"/>
        </w:rPr>
        <w:t>.</w:t>
      </w:r>
      <w:r w:rsidR="00900D0D">
        <w:rPr>
          <w:rFonts w:ascii="Titillium" w:hAnsi="Titillium" w:cs="Arial"/>
          <w:sz w:val="20"/>
          <w:szCs w:val="20"/>
        </w:rPr>
        <w:t>767,02</w:t>
      </w:r>
      <w:r w:rsidR="00EA79A8"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 xml:space="preserve"> </w:t>
      </w:r>
      <w:r w:rsidR="00780E04">
        <w:rPr>
          <w:rFonts w:ascii="Titillium" w:hAnsi="Titillium" w:cs="Arial"/>
          <w:sz w:val="20"/>
          <w:szCs w:val="20"/>
        </w:rPr>
        <w:t>o</w:t>
      </w:r>
      <w:r w:rsidRPr="008D6A2C">
        <w:rPr>
          <w:rFonts w:ascii="Titillium" w:hAnsi="Titillium" w:cs="Arial"/>
          <w:sz w:val="20"/>
          <w:szCs w:val="20"/>
        </w:rPr>
        <w:t>dnos</w:t>
      </w:r>
      <w:r w:rsidR="00900D0D">
        <w:rPr>
          <w:rFonts w:ascii="Titillium" w:hAnsi="Titillium" w:cs="Arial"/>
          <w:sz w:val="20"/>
          <w:szCs w:val="20"/>
        </w:rPr>
        <w:t xml:space="preserve">e se na </w:t>
      </w:r>
      <w:r w:rsidRPr="008D6A2C">
        <w:rPr>
          <w:rFonts w:ascii="Titillium" w:hAnsi="Titillium" w:cs="Arial"/>
          <w:sz w:val="20"/>
          <w:szCs w:val="20"/>
        </w:rPr>
        <w:t>dodatna ulaganj</w:t>
      </w:r>
      <w:r w:rsidR="00475948">
        <w:rPr>
          <w:rFonts w:ascii="Titillium" w:hAnsi="Titillium" w:cs="Arial"/>
          <w:sz w:val="20"/>
          <w:szCs w:val="20"/>
        </w:rPr>
        <w:t>a</w:t>
      </w:r>
      <w:r w:rsidRPr="008D6A2C">
        <w:rPr>
          <w:rFonts w:ascii="Titillium" w:hAnsi="Titillium" w:cs="Arial"/>
          <w:sz w:val="20"/>
          <w:szCs w:val="20"/>
        </w:rPr>
        <w:t xml:space="preserve"> na građevinskim objektima.</w:t>
      </w:r>
    </w:p>
    <w:p w:rsidR="008D6A2C" w:rsidRDefault="008D6A2C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lastRenderedPageBreak/>
        <w:t>Vlastiti izvori</w:t>
      </w:r>
      <w:r w:rsidRPr="008D6A2C">
        <w:rPr>
          <w:rFonts w:ascii="Titillium" w:hAnsi="Titillium" w:cs="Arial"/>
          <w:sz w:val="20"/>
          <w:szCs w:val="20"/>
        </w:rPr>
        <w:t xml:space="preserve"> Instituta (</w:t>
      </w:r>
      <w:r w:rsidR="00A55A84">
        <w:rPr>
          <w:rFonts w:ascii="Titillium" w:hAnsi="Titillium" w:cs="Arial"/>
          <w:sz w:val="20"/>
          <w:szCs w:val="20"/>
        </w:rPr>
        <w:t>9</w:t>
      </w:r>
      <w:r w:rsidRPr="008D6A2C">
        <w:rPr>
          <w:rFonts w:ascii="Titillium" w:hAnsi="Titillium" w:cs="Arial"/>
          <w:sz w:val="20"/>
          <w:szCs w:val="20"/>
        </w:rPr>
        <w:t xml:space="preserve">) iznose </w:t>
      </w:r>
      <w:r w:rsidR="00451A9B">
        <w:rPr>
          <w:rFonts w:ascii="Titillium" w:hAnsi="Titillium" w:cs="Arial"/>
          <w:sz w:val="20"/>
          <w:szCs w:val="20"/>
        </w:rPr>
        <w:t>33.641.775,25 EUR</w:t>
      </w:r>
      <w:r w:rsidRPr="008D6A2C">
        <w:rPr>
          <w:rFonts w:ascii="Titillium" w:hAnsi="Titillium" w:cs="Arial"/>
          <w:sz w:val="20"/>
          <w:szCs w:val="20"/>
        </w:rPr>
        <w:t>. Sastoje se od izvora iz proračuna (</w:t>
      </w:r>
      <w:r w:rsidR="00AE5FFE">
        <w:rPr>
          <w:rFonts w:ascii="Titillium" w:hAnsi="Titillium" w:cs="Arial"/>
          <w:sz w:val="20"/>
          <w:szCs w:val="20"/>
        </w:rPr>
        <w:t>9111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 w:rsidR="00451A9B">
        <w:rPr>
          <w:rFonts w:ascii="Titillium" w:hAnsi="Titillium" w:cs="Arial"/>
          <w:sz w:val="20"/>
          <w:szCs w:val="20"/>
        </w:rPr>
        <w:t>31.627.331,85 EUR</w:t>
      </w:r>
      <w:r w:rsidRPr="008D6A2C">
        <w:rPr>
          <w:rFonts w:ascii="Titillium" w:hAnsi="Titillium" w:cs="Arial"/>
          <w:sz w:val="20"/>
          <w:szCs w:val="20"/>
        </w:rPr>
        <w:t>, vlastitih izvora (</w:t>
      </w:r>
      <w:r w:rsidR="00A44413">
        <w:rPr>
          <w:rFonts w:ascii="Titillium" w:hAnsi="Titillium" w:cs="Arial"/>
          <w:sz w:val="20"/>
          <w:szCs w:val="20"/>
        </w:rPr>
        <w:t xml:space="preserve">razlika </w:t>
      </w:r>
      <w:r w:rsidR="00AE5FFE">
        <w:rPr>
          <w:rFonts w:ascii="Titillium" w:hAnsi="Titillium" w:cs="Arial"/>
          <w:sz w:val="20"/>
          <w:szCs w:val="20"/>
        </w:rPr>
        <w:t>9112 i 912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 w:rsidR="00A44413">
        <w:rPr>
          <w:rFonts w:ascii="Titillium" w:hAnsi="Titillium" w:cs="Arial"/>
          <w:sz w:val="20"/>
          <w:szCs w:val="20"/>
        </w:rPr>
        <w:t>181.005,19</w:t>
      </w:r>
      <w:r w:rsidR="00BE0393">
        <w:rPr>
          <w:rFonts w:ascii="Titillium" w:hAnsi="Titillium" w:cs="Arial"/>
          <w:sz w:val="20"/>
          <w:szCs w:val="20"/>
        </w:rPr>
        <w:t xml:space="preserve"> EUR</w:t>
      </w:r>
      <w:r w:rsidRPr="008D6A2C">
        <w:rPr>
          <w:rFonts w:ascii="Titillium" w:hAnsi="Titillium" w:cs="Arial"/>
          <w:sz w:val="20"/>
          <w:szCs w:val="20"/>
        </w:rPr>
        <w:t>, obračunatih prihoda poslovanja-potraživanja od kupaca (</w:t>
      </w:r>
      <w:r w:rsidR="00197CF0">
        <w:rPr>
          <w:rFonts w:ascii="Titillium" w:hAnsi="Titillium" w:cs="Arial"/>
          <w:sz w:val="20"/>
          <w:szCs w:val="20"/>
        </w:rPr>
        <w:t>96</w:t>
      </w:r>
      <w:r w:rsidRPr="008D6A2C">
        <w:rPr>
          <w:rFonts w:ascii="Titillium" w:hAnsi="Titillium" w:cs="Arial"/>
          <w:sz w:val="20"/>
          <w:szCs w:val="20"/>
        </w:rPr>
        <w:t xml:space="preserve">) u iznosu od </w:t>
      </w:r>
      <w:r w:rsidR="00BE0393">
        <w:rPr>
          <w:rFonts w:ascii="Titillium" w:hAnsi="Titillium" w:cs="Arial"/>
          <w:sz w:val="20"/>
          <w:szCs w:val="20"/>
        </w:rPr>
        <w:t>236.691,07 EUR</w:t>
      </w:r>
      <w:r w:rsidRPr="008D6A2C">
        <w:rPr>
          <w:rFonts w:ascii="Titillium" w:hAnsi="Titillium" w:cs="Arial"/>
          <w:sz w:val="20"/>
          <w:szCs w:val="20"/>
        </w:rPr>
        <w:t xml:space="preserve"> te viška prihoda poslovanja (</w:t>
      </w:r>
      <w:r w:rsidR="00197CF0">
        <w:rPr>
          <w:rFonts w:ascii="Titillium" w:hAnsi="Titillium" w:cs="Arial"/>
          <w:sz w:val="20"/>
          <w:szCs w:val="20"/>
        </w:rPr>
        <w:t>92211</w:t>
      </w:r>
      <w:r w:rsidRPr="008D6A2C">
        <w:rPr>
          <w:rFonts w:ascii="Titillium" w:hAnsi="Titillium" w:cs="Arial"/>
          <w:sz w:val="20"/>
          <w:szCs w:val="20"/>
        </w:rPr>
        <w:t>)</w:t>
      </w:r>
      <w:r w:rsidR="00A44413">
        <w:rPr>
          <w:rFonts w:ascii="Titillium" w:hAnsi="Titillium" w:cs="Arial"/>
          <w:sz w:val="20"/>
          <w:szCs w:val="20"/>
        </w:rPr>
        <w:t xml:space="preserve"> u iznosu od 1.596.747,14 EUR.</w:t>
      </w:r>
    </w:p>
    <w:p w:rsidR="0030137F" w:rsidRDefault="0030137F" w:rsidP="008D6A2C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8D6A2C" w:rsidRPr="008D6A2C" w:rsidRDefault="008D6A2C" w:rsidP="008D6A2C">
      <w:pPr>
        <w:spacing w:after="0"/>
        <w:jc w:val="center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OBVEZNE BILJEŠKE UZ BILANCU</w:t>
      </w:r>
      <w:r w:rsidR="00F55DD2">
        <w:rPr>
          <w:rFonts w:ascii="Titillium" w:hAnsi="Titillium" w:cs="Arial"/>
          <w:sz w:val="20"/>
          <w:szCs w:val="20"/>
        </w:rPr>
        <w:t xml:space="preserve"> - IZVANBILANČNI ZAPISI</w:t>
      </w:r>
    </w:p>
    <w:p w:rsidR="0030137F" w:rsidRPr="00F55DD2" w:rsidRDefault="0030137F" w:rsidP="0030137F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F55DD2">
        <w:rPr>
          <w:rFonts w:ascii="Titillium" w:hAnsi="Titillium" w:cs="Arial"/>
          <w:sz w:val="20"/>
          <w:szCs w:val="20"/>
        </w:rPr>
        <w:t>Ukupan iznos potencijalnih obveza po osnovi sudskih sporova u tijeku na dan 31.12.202</w:t>
      </w:r>
      <w:r>
        <w:rPr>
          <w:rFonts w:ascii="Titillium" w:hAnsi="Titillium" w:cs="Arial"/>
          <w:sz w:val="20"/>
          <w:szCs w:val="20"/>
        </w:rPr>
        <w:t>3</w:t>
      </w:r>
      <w:r w:rsidRPr="00F55DD2">
        <w:rPr>
          <w:rFonts w:ascii="Titillium" w:hAnsi="Titillium" w:cs="Arial"/>
          <w:sz w:val="20"/>
          <w:szCs w:val="20"/>
        </w:rPr>
        <w:t xml:space="preserve">. iznosi </w:t>
      </w:r>
      <w:r>
        <w:rPr>
          <w:rFonts w:ascii="Titillium" w:hAnsi="Titillium" w:cs="Arial"/>
          <w:sz w:val="20"/>
          <w:szCs w:val="20"/>
        </w:rPr>
        <w:t>21.690,16 EUR.</w:t>
      </w:r>
      <w:r w:rsidRPr="00F55DD2">
        <w:rPr>
          <w:rFonts w:ascii="Titillium" w:hAnsi="Titillium" w:cs="Arial"/>
          <w:sz w:val="20"/>
          <w:szCs w:val="20"/>
        </w:rPr>
        <w:t xml:space="preserve"> Vrste sporova u tijeku:</w:t>
      </w:r>
    </w:p>
    <w:p w:rsidR="0030137F" w:rsidRPr="008D6A2C" w:rsidRDefault="0030137F" w:rsidP="0030137F">
      <w:pPr>
        <w:pStyle w:val="ListParagraph"/>
        <w:numPr>
          <w:ilvl w:val="0"/>
          <w:numId w:val="9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Sudski sporovi sa zaposlenicima zbog isplate dodatka na plaću – ukupno </w:t>
      </w:r>
      <w:r>
        <w:rPr>
          <w:rFonts w:ascii="Titillium" w:hAnsi="Titillium" w:cs="Arial"/>
          <w:sz w:val="20"/>
          <w:szCs w:val="20"/>
        </w:rPr>
        <w:t>14</w:t>
      </w:r>
      <w:r w:rsidRPr="008D6A2C">
        <w:rPr>
          <w:rFonts w:ascii="Titillium" w:hAnsi="Titillium" w:cs="Arial"/>
          <w:sz w:val="20"/>
          <w:szCs w:val="20"/>
        </w:rPr>
        <w:t xml:space="preserve"> spor</w:t>
      </w:r>
      <w:r>
        <w:rPr>
          <w:rFonts w:ascii="Titillium" w:hAnsi="Titillium" w:cs="Arial"/>
          <w:sz w:val="20"/>
          <w:szCs w:val="20"/>
        </w:rPr>
        <w:t>ova</w:t>
      </w:r>
      <w:r w:rsidRPr="008D6A2C">
        <w:rPr>
          <w:rFonts w:ascii="Titillium" w:hAnsi="Titillium" w:cs="Arial"/>
          <w:sz w:val="20"/>
          <w:szCs w:val="20"/>
        </w:rPr>
        <w:t xml:space="preserve">, ukupni utuženi iznos bez kamata i troškova postupka iznosi </w:t>
      </w:r>
      <w:r>
        <w:rPr>
          <w:rFonts w:ascii="Titillium" w:hAnsi="Titillium" w:cs="Arial"/>
          <w:sz w:val="20"/>
          <w:szCs w:val="20"/>
        </w:rPr>
        <w:t>18.534,11 EUR</w:t>
      </w:r>
    </w:p>
    <w:p w:rsidR="0030137F" w:rsidRDefault="0030137F" w:rsidP="0030137F">
      <w:pPr>
        <w:pStyle w:val="ListParagraph"/>
        <w:numPr>
          <w:ilvl w:val="0"/>
          <w:numId w:val="9"/>
        </w:num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Sudski sporovi za naknadu štete zbog naleta divljači na području znanstvenoistraživačkog poligona „</w:t>
      </w:r>
      <w:proofErr w:type="spellStart"/>
      <w:r w:rsidRPr="008D6A2C">
        <w:rPr>
          <w:rFonts w:ascii="Titillium" w:hAnsi="Titillium" w:cs="Arial"/>
          <w:sz w:val="20"/>
          <w:szCs w:val="20"/>
        </w:rPr>
        <w:t>Šumbar</w:t>
      </w:r>
      <w:proofErr w:type="spellEnd"/>
      <w:r w:rsidRPr="008D6A2C">
        <w:rPr>
          <w:rFonts w:ascii="Titillium" w:hAnsi="Titillium" w:cs="Arial"/>
          <w:sz w:val="20"/>
          <w:szCs w:val="20"/>
        </w:rPr>
        <w:t xml:space="preserve"> – ukupno </w:t>
      </w:r>
      <w:r>
        <w:rPr>
          <w:rFonts w:ascii="Titillium" w:hAnsi="Titillium" w:cs="Arial"/>
          <w:sz w:val="20"/>
          <w:szCs w:val="20"/>
        </w:rPr>
        <w:t>1</w:t>
      </w:r>
      <w:r w:rsidRPr="008D6A2C">
        <w:rPr>
          <w:rFonts w:ascii="Titillium" w:hAnsi="Titillium" w:cs="Arial"/>
          <w:sz w:val="20"/>
          <w:szCs w:val="20"/>
        </w:rPr>
        <w:t xml:space="preserve"> spor procijenjene vrijednosti utuženog iznosa </w:t>
      </w:r>
      <w:r>
        <w:rPr>
          <w:rFonts w:ascii="Titillium" w:hAnsi="Titillium" w:cs="Arial"/>
          <w:sz w:val="20"/>
          <w:szCs w:val="20"/>
        </w:rPr>
        <w:t>3.156,05 EUR.</w:t>
      </w:r>
    </w:p>
    <w:p w:rsidR="0030137F" w:rsidRDefault="0030137F" w:rsidP="0030137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>Ukupan iznos izdanih instrumenata osiguranja plaćanja na dan 31.12.2023. godine iznosi 213.887,52 EUR. Izdano je ukupno 5 garancija kao jamstvo za uredno ispunjenje ugovora, 1 garancija kao jamstvo za ozbiljnost ponude, 1 garancija kao jamstvo za uredno ispunjenje Okvirnog sporazuma, 1 zadužnica poslovnoj banci kao osiguranje naplate po garancijama, 2 zadužnice kao jamstvo za uredno ispunjenje ugovora i 3 bjanko zadužnice kao jamstvo za uredno ispunjenje ugovora.</w:t>
      </w:r>
    </w:p>
    <w:p w:rsidR="0030137F" w:rsidRPr="008D6A2C" w:rsidRDefault="0030137F" w:rsidP="0030137F">
      <w:pPr>
        <w:spacing w:after="0"/>
        <w:jc w:val="both"/>
        <w:rPr>
          <w:rFonts w:ascii="Titillium" w:hAnsi="Titillium" w:cs="Arial"/>
          <w:sz w:val="20"/>
          <w:szCs w:val="20"/>
        </w:rPr>
      </w:pPr>
      <w:r>
        <w:rPr>
          <w:rFonts w:ascii="Titillium" w:hAnsi="Titillium" w:cs="Arial"/>
          <w:sz w:val="20"/>
          <w:szCs w:val="20"/>
        </w:rPr>
        <w:t xml:space="preserve">Ukupan iznos primljenih jamstava na dan 31.12.2023. iznosi 210.004,34 EUR. Primljeno je ukupno 6 garancija, od čega 5 kao jamstvo za uredno ispunjenje ugovora i jedna kao jamstvo za otklanjanje nedostataka. </w:t>
      </w:r>
    </w:p>
    <w:p w:rsidR="008D6A2C" w:rsidRPr="008D6A2C" w:rsidRDefault="008D6A2C" w:rsidP="008D6A2C">
      <w:pPr>
        <w:spacing w:after="0"/>
        <w:rPr>
          <w:rFonts w:ascii="Titillium" w:hAnsi="Titillium" w:cs="Arial"/>
          <w:sz w:val="20"/>
          <w:szCs w:val="20"/>
        </w:rPr>
      </w:pPr>
    </w:p>
    <w:p w:rsidR="008073F2" w:rsidRPr="008D6A2C" w:rsidRDefault="008073F2" w:rsidP="008073F2">
      <w:pPr>
        <w:spacing w:after="0"/>
        <w:ind w:left="36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IZVJEŠTAJ O RASHODIMA PO FUNKCIJSKOJ KLASIFIKACIJI (Obrazac RAS funkcijski)</w:t>
      </w:r>
    </w:p>
    <w:p w:rsidR="008073F2" w:rsidRPr="008D6A2C" w:rsidRDefault="008073F2" w:rsidP="008073F2">
      <w:pPr>
        <w:spacing w:after="0"/>
        <w:rPr>
          <w:rFonts w:ascii="Titillium" w:hAnsi="Titillium" w:cs="Arial"/>
          <w:sz w:val="20"/>
          <w:szCs w:val="20"/>
        </w:rPr>
      </w:pPr>
    </w:p>
    <w:p w:rsidR="008073F2" w:rsidRPr="008D6A2C" w:rsidRDefault="008073F2" w:rsidP="008073F2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Prema Odluci o Nacionalnoj klasifikaciji djelatnosti 2007. - NKD 2007., Institut je razvrstan u djelatnost </w:t>
      </w:r>
      <w:r w:rsidRPr="008D6A2C">
        <w:rPr>
          <w:rFonts w:ascii="Titillium" w:hAnsi="Titillium" w:cs="Arial"/>
          <w:i/>
          <w:sz w:val="20"/>
          <w:szCs w:val="20"/>
        </w:rPr>
        <w:t>Ostalo istraživanje i eksperimentalni razvoj u prirodnim, tehničkim i tehnološkim znanostima</w:t>
      </w:r>
      <w:r w:rsidRPr="008D6A2C">
        <w:rPr>
          <w:rFonts w:ascii="Titillium" w:hAnsi="Titillium" w:cs="Arial"/>
          <w:sz w:val="20"/>
          <w:szCs w:val="20"/>
        </w:rPr>
        <w:t xml:space="preserve"> (šifra djelatnosti 7219). U obrascu RAS funkcijski ukupni rashodi iskazani su na </w:t>
      </w:r>
      <w:r>
        <w:rPr>
          <w:rFonts w:ascii="Titillium" w:hAnsi="Titillium" w:cs="Arial"/>
          <w:sz w:val="20"/>
          <w:szCs w:val="20"/>
        </w:rPr>
        <w:t xml:space="preserve">šifri 075 </w:t>
      </w:r>
      <w:r w:rsidRPr="008D6A2C">
        <w:rPr>
          <w:rFonts w:ascii="Titillium" w:hAnsi="Titillium" w:cs="Arial"/>
          <w:sz w:val="20"/>
          <w:szCs w:val="20"/>
        </w:rPr>
        <w:t>-</w:t>
      </w:r>
      <w:r>
        <w:rPr>
          <w:rFonts w:ascii="Titillium" w:hAnsi="Titillium" w:cs="Arial"/>
          <w:sz w:val="20"/>
          <w:szCs w:val="20"/>
        </w:rPr>
        <w:t xml:space="preserve"> </w:t>
      </w:r>
      <w:r w:rsidRPr="008D6A2C">
        <w:rPr>
          <w:rFonts w:ascii="Titillium" w:hAnsi="Titillium" w:cs="Arial"/>
          <w:sz w:val="20"/>
          <w:szCs w:val="20"/>
        </w:rPr>
        <w:t>istraživanje i razvoj zdravstva. Iskazani iznos (</w:t>
      </w:r>
      <w:r>
        <w:rPr>
          <w:rFonts w:ascii="Titillium" w:hAnsi="Titillium" w:cs="Arial"/>
          <w:sz w:val="20"/>
          <w:szCs w:val="20"/>
        </w:rPr>
        <w:t>10,547,746,67 EUR</w:t>
      </w:r>
      <w:r w:rsidRPr="008D6A2C">
        <w:rPr>
          <w:rFonts w:ascii="Titillium" w:hAnsi="Titillium" w:cs="Arial"/>
          <w:sz w:val="20"/>
          <w:szCs w:val="20"/>
        </w:rPr>
        <w:t xml:space="preserve">) odgovara zbroju </w:t>
      </w:r>
      <w:r>
        <w:rPr>
          <w:rFonts w:ascii="Titillium" w:hAnsi="Titillium" w:cs="Arial"/>
          <w:sz w:val="20"/>
          <w:szCs w:val="20"/>
        </w:rPr>
        <w:t>šifri 3 i 4</w:t>
      </w:r>
      <w:r w:rsidRPr="008D6A2C">
        <w:rPr>
          <w:rFonts w:ascii="Titillium" w:hAnsi="Titillium" w:cs="Arial"/>
          <w:sz w:val="20"/>
          <w:szCs w:val="20"/>
        </w:rPr>
        <w:t xml:space="preserve"> obrasca PR-RAS, odnosno zbroju rashoda poslovanja i rashoda za nabavu nefinancijske imovine. </w:t>
      </w:r>
    </w:p>
    <w:p w:rsidR="008073F2" w:rsidRPr="008D6A2C" w:rsidRDefault="008073F2" w:rsidP="008073F2">
      <w:pPr>
        <w:spacing w:after="0"/>
        <w:rPr>
          <w:rFonts w:ascii="Titillium" w:hAnsi="Titillium" w:cs="Arial"/>
          <w:sz w:val="20"/>
          <w:szCs w:val="20"/>
        </w:rPr>
      </w:pPr>
    </w:p>
    <w:p w:rsidR="008073F2" w:rsidRPr="008D6A2C" w:rsidRDefault="008073F2" w:rsidP="008073F2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PROMJENE U VRIJEDNOSTI I OBUJMU IMOVINE I OBVEZA (Obrazac P-VRIO)</w:t>
      </w:r>
    </w:p>
    <w:p w:rsidR="008073F2" w:rsidRPr="008D6A2C" w:rsidRDefault="008073F2" w:rsidP="008073F2">
      <w:pPr>
        <w:spacing w:after="0"/>
        <w:rPr>
          <w:rFonts w:ascii="Titillium" w:hAnsi="Titillium" w:cs="Arial"/>
          <w:sz w:val="20"/>
          <w:szCs w:val="20"/>
        </w:rPr>
      </w:pPr>
    </w:p>
    <w:p w:rsidR="008073F2" w:rsidRPr="008D6A2C" w:rsidRDefault="008073F2" w:rsidP="008073F2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U 20</w:t>
      </w:r>
      <w:r>
        <w:rPr>
          <w:rFonts w:ascii="Titillium" w:hAnsi="Titillium" w:cs="Arial"/>
          <w:sz w:val="20"/>
          <w:szCs w:val="20"/>
        </w:rPr>
        <w:t>23</w:t>
      </w:r>
      <w:r w:rsidRPr="008D6A2C">
        <w:rPr>
          <w:rFonts w:ascii="Titillium" w:hAnsi="Titillium" w:cs="Arial"/>
          <w:sz w:val="20"/>
          <w:szCs w:val="20"/>
        </w:rPr>
        <w:t xml:space="preserve">. godini evidentirano je smanjenje vrijednosti </w:t>
      </w:r>
      <w:r>
        <w:rPr>
          <w:rFonts w:ascii="Titillium" w:hAnsi="Titillium" w:cs="Arial"/>
          <w:sz w:val="20"/>
          <w:szCs w:val="20"/>
        </w:rPr>
        <w:t xml:space="preserve">dugotrajne imovine </w:t>
      </w:r>
      <w:r w:rsidRPr="008D6A2C">
        <w:rPr>
          <w:rFonts w:ascii="Titillium" w:hAnsi="Titillium" w:cs="Arial"/>
          <w:sz w:val="20"/>
          <w:szCs w:val="20"/>
        </w:rPr>
        <w:t xml:space="preserve">u iznosu od </w:t>
      </w:r>
      <w:r>
        <w:rPr>
          <w:rFonts w:ascii="Titillium" w:hAnsi="Titillium" w:cs="Arial"/>
          <w:sz w:val="20"/>
          <w:szCs w:val="20"/>
        </w:rPr>
        <w:t xml:space="preserve">1.441,75 EUR. Smanjenje vrijednosti proizvedene dugotrajne imovine (P003) u iznosu od 1.441,75 EUR izvršeno je temeljem Odluke o </w:t>
      </w:r>
      <w:proofErr w:type="spellStart"/>
      <w:r>
        <w:rPr>
          <w:rFonts w:ascii="Titillium" w:hAnsi="Titillium" w:cs="Arial"/>
          <w:sz w:val="20"/>
          <w:szCs w:val="20"/>
        </w:rPr>
        <w:t>isknjiženju</w:t>
      </w:r>
      <w:proofErr w:type="spellEnd"/>
      <w:r>
        <w:rPr>
          <w:rFonts w:ascii="Titillium" w:hAnsi="Titillium" w:cs="Arial"/>
          <w:sz w:val="20"/>
          <w:szCs w:val="20"/>
        </w:rPr>
        <w:t xml:space="preserve"> nefinancijske imovine. Isknjiženi su građevinski objekti srušeni zbog provedbe projekta rekonstrukcije i dogradnje Instituta. </w:t>
      </w:r>
    </w:p>
    <w:p w:rsidR="008073F2" w:rsidRPr="008D6A2C" w:rsidRDefault="008073F2" w:rsidP="008073F2">
      <w:pPr>
        <w:spacing w:after="0"/>
        <w:jc w:val="both"/>
        <w:rPr>
          <w:rFonts w:ascii="Titillium" w:hAnsi="Titillium" w:cs="Arial"/>
          <w:sz w:val="20"/>
          <w:szCs w:val="20"/>
        </w:rPr>
      </w:pPr>
    </w:p>
    <w:p w:rsidR="008073F2" w:rsidRPr="008D6A2C" w:rsidRDefault="008073F2" w:rsidP="008073F2">
      <w:pPr>
        <w:spacing w:after="0"/>
        <w:jc w:val="center"/>
        <w:rPr>
          <w:rFonts w:ascii="Titillium" w:hAnsi="Titillium" w:cs="Arial"/>
          <w:b/>
          <w:sz w:val="20"/>
          <w:szCs w:val="20"/>
        </w:rPr>
      </w:pPr>
      <w:r w:rsidRPr="008D6A2C">
        <w:rPr>
          <w:rFonts w:ascii="Titillium" w:hAnsi="Titillium" w:cs="Arial"/>
          <w:b/>
          <w:sz w:val="20"/>
          <w:szCs w:val="20"/>
        </w:rPr>
        <w:t>IZVJEŠTAJ O OBVEZAMA (Obrazac Obveze)</w:t>
      </w:r>
    </w:p>
    <w:p w:rsidR="008073F2" w:rsidRPr="008D6A2C" w:rsidRDefault="008073F2" w:rsidP="008073F2">
      <w:pPr>
        <w:spacing w:after="0"/>
        <w:rPr>
          <w:rFonts w:ascii="Titillium" w:hAnsi="Titillium" w:cs="Arial"/>
          <w:sz w:val="20"/>
          <w:szCs w:val="20"/>
        </w:rPr>
      </w:pPr>
    </w:p>
    <w:p w:rsidR="008073F2" w:rsidRPr="008D6A2C" w:rsidRDefault="008073F2" w:rsidP="008073F2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Početno stanje obveza na dan 01.01.202</w:t>
      </w:r>
      <w:r>
        <w:rPr>
          <w:rFonts w:ascii="Titillium" w:hAnsi="Titillium" w:cs="Arial"/>
          <w:sz w:val="20"/>
          <w:szCs w:val="20"/>
        </w:rPr>
        <w:t>3</w:t>
      </w:r>
      <w:r w:rsidRPr="008D6A2C">
        <w:rPr>
          <w:rFonts w:ascii="Titillium" w:hAnsi="Titillium" w:cs="Arial"/>
          <w:sz w:val="20"/>
          <w:szCs w:val="20"/>
        </w:rPr>
        <w:t xml:space="preserve">. (V001) iznosilo je </w:t>
      </w:r>
      <w:r>
        <w:rPr>
          <w:rFonts w:ascii="Titillium" w:hAnsi="Titillium" w:cs="Arial"/>
          <w:sz w:val="20"/>
          <w:szCs w:val="20"/>
        </w:rPr>
        <w:t>3.145.477,74 EUR</w:t>
      </w:r>
      <w:r w:rsidRPr="008D6A2C">
        <w:rPr>
          <w:rFonts w:ascii="Titillium" w:hAnsi="Titillium" w:cs="Arial"/>
          <w:sz w:val="20"/>
          <w:szCs w:val="20"/>
        </w:rPr>
        <w:t xml:space="preserve">. U izvještajnom razdoblju stvorene su obveze (V002) u ukupnom iznosu od </w:t>
      </w:r>
      <w:r>
        <w:rPr>
          <w:rFonts w:ascii="Titillium" w:hAnsi="Titillium" w:cs="Arial"/>
          <w:sz w:val="20"/>
          <w:szCs w:val="20"/>
        </w:rPr>
        <w:t>13.293.959,77 EUR</w:t>
      </w:r>
      <w:r w:rsidRPr="008D6A2C">
        <w:rPr>
          <w:rFonts w:ascii="Titillium" w:hAnsi="Titillium" w:cs="Arial"/>
          <w:sz w:val="20"/>
          <w:szCs w:val="20"/>
        </w:rPr>
        <w:t xml:space="preserve"> a podmireno je </w:t>
      </w:r>
      <w:r>
        <w:rPr>
          <w:rFonts w:ascii="Titillium" w:hAnsi="Titillium" w:cs="Arial"/>
          <w:sz w:val="20"/>
          <w:szCs w:val="20"/>
        </w:rPr>
        <w:t>16.111.289,44 EUR</w:t>
      </w:r>
      <w:r w:rsidRPr="008D6A2C">
        <w:rPr>
          <w:rFonts w:ascii="Titillium" w:hAnsi="Titillium" w:cs="Arial"/>
          <w:sz w:val="20"/>
          <w:szCs w:val="20"/>
        </w:rPr>
        <w:t xml:space="preserve"> (V004).</w:t>
      </w:r>
    </w:p>
    <w:p w:rsidR="008073F2" w:rsidRDefault="008073F2" w:rsidP="008073F2">
      <w:pPr>
        <w:spacing w:after="0"/>
        <w:jc w:val="both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Stanje obveza na dan </w:t>
      </w:r>
      <w:r>
        <w:rPr>
          <w:rFonts w:ascii="Titillium" w:hAnsi="Titillium" w:cs="Arial"/>
          <w:sz w:val="20"/>
          <w:szCs w:val="20"/>
        </w:rPr>
        <w:t>31.12</w:t>
      </w:r>
      <w:r w:rsidRPr="008D6A2C">
        <w:rPr>
          <w:rFonts w:ascii="Titillium" w:hAnsi="Titillium" w:cs="Arial"/>
          <w:sz w:val="20"/>
          <w:szCs w:val="20"/>
        </w:rPr>
        <w:t>.202</w:t>
      </w:r>
      <w:r>
        <w:rPr>
          <w:rFonts w:ascii="Titillium" w:hAnsi="Titillium" w:cs="Arial"/>
          <w:sz w:val="20"/>
          <w:szCs w:val="20"/>
        </w:rPr>
        <w:t>3</w:t>
      </w:r>
      <w:r w:rsidRPr="008D6A2C">
        <w:rPr>
          <w:rFonts w:ascii="Titillium" w:hAnsi="Titillium" w:cs="Arial"/>
          <w:sz w:val="20"/>
          <w:szCs w:val="20"/>
        </w:rPr>
        <w:t xml:space="preserve">. (V006) iznosilo je </w:t>
      </w:r>
      <w:r>
        <w:rPr>
          <w:rFonts w:ascii="Titillium" w:hAnsi="Titillium" w:cs="Arial"/>
          <w:sz w:val="20"/>
          <w:szCs w:val="20"/>
        </w:rPr>
        <w:t xml:space="preserve">328.148,07 EUR, a sve obveze su nedospjele i iskazane su na </w:t>
      </w:r>
      <w:r w:rsidRPr="008D6A2C">
        <w:rPr>
          <w:rFonts w:ascii="Titillium" w:hAnsi="Titillium" w:cs="Arial"/>
          <w:sz w:val="20"/>
          <w:szCs w:val="20"/>
        </w:rPr>
        <w:t>V009</w:t>
      </w:r>
      <w:r>
        <w:rPr>
          <w:rFonts w:ascii="Titillium" w:hAnsi="Titillium" w:cs="Arial"/>
          <w:sz w:val="20"/>
          <w:szCs w:val="20"/>
        </w:rPr>
        <w:t>.</w:t>
      </w:r>
      <w:r w:rsidRPr="008D6A2C">
        <w:rPr>
          <w:rFonts w:ascii="Titillium" w:hAnsi="Titillium" w:cs="Arial"/>
          <w:sz w:val="20"/>
          <w:szCs w:val="20"/>
        </w:rPr>
        <w:t xml:space="preserve">  </w:t>
      </w:r>
    </w:p>
    <w:p w:rsidR="00962623" w:rsidRDefault="00962623" w:rsidP="00F85BA7">
      <w:pPr>
        <w:spacing w:after="0"/>
        <w:rPr>
          <w:rFonts w:ascii="Titillium" w:hAnsi="Titillium" w:cs="Arial"/>
          <w:sz w:val="20"/>
          <w:szCs w:val="20"/>
        </w:rPr>
      </w:pPr>
    </w:p>
    <w:p w:rsidR="006507A4" w:rsidRPr="008D6A2C" w:rsidRDefault="006507A4" w:rsidP="00F85BA7">
      <w:pPr>
        <w:spacing w:after="0"/>
        <w:rPr>
          <w:rFonts w:ascii="Titillium" w:hAnsi="Titillium" w:cs="Arial"/>
          <w:sz w:val="20"/>
          <w:szCs w:val="20"/>
        </w:rPr>
      </w:pPr>
    </w:p>
    <w:p w:rsidR="0032249A" w:rsidRDefault="00F85BA7" w:rsidP="00F85BA7">
      <w:pPr>
        <w:spacing w:after="0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 xml:space="preserve">Zagreb, </w:t>
      </w:r>
      <w:r w:rsidR="005746BA" w:rsidRPr="008D6A2C">
        <w:rPr>
          <w:rFonts w:ascii="Titillium" w:hAnsi="Titillium" w:cs="Arial"/>
          <w:sz w:val="20"/>
          <w:szCs w:val="20"/>
        </w:rPr>
        <w:t>31</w:t>
      </w:r>
      <w:r w:rsidR="00C060BC" w:rsidRPr="008D6A2C">
        <w:rPr>
          <w:rFonts w:ascii="Titillium" w:hAnsi="Titillium" w:cs="Arial"/>
          <w:sz w:val="20"/>
          <w:szCs w:val="20"/>
        </w:rPr>
        <w:t>.</w:t>
      </w:r>
      <w:r w:rsidR="005746BA" w:rsidRPr="008D6A2C">
        <w:rPr>
          <w:rFonts w:ascii="Titillium" w:hAnsi="Titillium" w:cs="Arial"/>
          <w:sz w:val="20"/>
          <w:szCs w:val="20"/>
        </w:rPr>
        <w:t>01</w:t>
      </w:r>
      <w:r w:rsidR="00D4301A" w:rsidRPr="008D6A2C">
        <w:rPr>
          <w:rFonts w:ascii="Titillium" w:hAnsi="Titillium" w:cs="Arial"/>
          <w:sz w:val="20"/>
          <w:szCs w:val="20"/>
        </w:rPr>
        <w:t>.202</w:t>
      </w:r>
      <w:r w:rsidR="005746BA" w:rsidRPr="008D6A2C">
        <w:rPr>
          <w:rFonts w:ascii="Titillium" w:hAnsi="Titillium" w:cs="Arial"/>
          <w:sz w:val="20"/>
          <w:szCs w:val="20"/>
        </w:rPr>
        <w:t>3</w:t>
      </w:r>
      <w:r w:rsidR="00D4301A" w:rsidRPr="008D6A2C">
        <w:rPr>
          <w:rFonts w:ascii="Titillium" w:hAnsi="Titillium" w:cs="Arial"/>
          <w:sz w:val="20"/>
          <w:szCs w:val="20"/>
        </w:rPr>
        <w:t>.</w:t>
      </w:r>
    </w:p>
    <w:p w:rsidR="00963A57" w:rsidRPr="008D6A2C" w:rsidRDefault="00963A57" w:rsidP="00F85BA7">
      <w:pPr>
        <w:spacing w:after="0"/>
        <w:rPr>
          <w:rFonts w:ascii="Titillium" w:hAnsi="Titillium" w:cs="Arial"/>
          <w:sz w:val="20"/>
          <w:szCs w:val="20"/>
        </w:rPr>
      </w:pPr>
    </w:p>
    <w:p w:rsidR="00F85BA7" w:rsidRPr="008D6A2C" w:rsidRDefault="00F85BA7" w:rsidP="00024F26">
      <w:pPr>
        <w:spacing w:after="0"/>
        <w:jc w:val="right"/>
        <w:rPr>
          <w:rFonts w:ascii="Titillium" w:hAnsi="Titillium" w:cs="Arial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Ravnateljica Instituta:</w:t>
      </w:r>
    </w:p>
    <w:p w:rsidR="00F85BA7" w:rsidRPr="008D6A2C" w:rsidRDefault="00F85BA7" w:rsidP="00024F26">
      <w:pPr>
        <w:spacing w:after="0"/>
        <w:jc w:val="right"/>
        <w:rPr>
          <w:rFonts w:ascii="Titillium" w:hAnsi="Titillium" w:cs="Arial"/>
          <w:sz w:val="20"/>
          <w:szCs w:val="20"/>
        </w:rPr>
      </w:pPr>
    </w:p>
    <w:p w:rsidR="006337AA" w:rsidRPr="008D6A2C" w:rsidRDefault="006337AA" w:rsidP="00024F26">
      <w:pPr>
        <w:spacing w:after="0"/>
        <w:jc w:val="right"/>
        <w:rPr>
          <w:rFonts w:ascii="Titillium" w:hAnsi="Titillium" w:cs="Arial"/>
          <w:sz w:val="20"/>
          <w:szCs w:val="20"/>
        </w:rPr>
      </w:pPr>
    </w:p>
    <w:p w:rsidR="00FF5C23" w:rsidRPr="00A16AAB" w:rsidRDefault="002C5F0A" w:rsidP="003356C9">
      <w:pPr>
        <w:spacing w:after="0"/>
        <w:jc w:val="right"/>
        <w:rPr>
          <w:rFonts w:ascii="Titillium" w:hAnsi="Titillium"/>
          <w:sz w:val="20"/>
          <w:szCs w:val="20"/>
        </w:rPr>
      </w:pPr>
      <w:r w:rsidRPr="008D6A2C">
        <w:rPr>
          <w:rFonts w:ascii="Titillium" w:hAnsi="Titillium" w:cs="Arial"/>
          <w:sz w:val="20"/>
          <w:szCs w:val="20"/>
        </w:rPr>
        <w:t>Prof.</w:t>
      </w:r>
      <w:r w:rsidR="00F85BA7" w:rsidRPr="008D6A2C">
        <w:rPr>
          <w:rFonts w:ascii="Titillium" w:hAnsi="Titillium" w:cs="Arial"/>
          <w:sz w:val="20"/>
          <w:szCs w:val="20"/>
        </w:rPr>
        <w:t>dr.sc. Ana Lu</w:t>
      </w:r>
      <w:r w:rsidR="00F85BA7" w:rsidRPr="00A16AAB">
        <w:rPr>
          <w:rFonts w:ascii="Titillium" w:hAnsi="Titillium" w:cs="Arial"/>
          <w:sz w:val="20"/>
          <w:szCs w:val="20"/>
        </w:rPr>
        <w:t xml:space="preserve">cić Vrdoljak, </w:t>
      </w:r>
      <w:proofErr w:type="spellStart"/>
      <w:r w:rsidR="00F85BA7" w:rsidRPr="00A16AAB">
        <w:rPr>
          <w:rFonts w:ascii="Titillium" w:hAnsi="Titillium" w:cs="Arial"/>
          <w:sz w:val="20"/>
          <w:szCs w:val="20"/>
        </w:rPr>
        <w:t>dipl.ing.med.biokem</w:t>
      </w:r>
      <w:proofErr w:type="spellEnd"/>
      <w:r w:rsidR="00F85BA7" w:rsidRPr="00A16AAB">
        <w:rPr>
          <w:rFonts w:ascii="Titillium" w:hAnsi="Titillium" w:cs="Arial"/>
          <w:sz w:val="20"/>
          <w:szCs w:val="20"/>
        </w:rPr>
        <w:t>.</w:t>
      </w:r>
    </w:p>
    <w:sectPr w:rsidR="00FF5C23" w:rsidRPr="00A16A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B6B" w:rsidRDefault="00481B6B" w:rsidP="006173D9">
      <w:pPr>
        <w:spacing w:after="0" w:line="240" w:lineRule="auto"/>
      </w:pPr>
      <w:r>
        <w:separator/>
      </w:r>
    </w:p>
  </w:endnote>
  <w:endnote w:type="continuationSeparator" w:id="0">
    <w:p w:rsidR="00481B6B" w:rsidRDefault="00481B6B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alligraph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Lt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03" w:rsidRPr="00A10971" w:rsidRDefault="001F290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T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+385 01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4682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 </w:t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500</w:t>
    </w:r>
    <w:r w:rsidRPr="00A10971">
      <w:rPr>
        <w:rFonts w:ascii="Titillium Lt" w:hAnsi="Titillium Lt" w:cs="Titillium Lt"/>
        <w:color w:val="656565"/>
        <w:spacing w:val="3"/>
        <w:sz w:val="14"/>
        <w:szCs w:val="17"/>
        <w:lang w:val="hr-HR"/>
      </w:rPr>
      <w:t xml:space="preserve"> </w:t>
    </w:r>
  </w:p>
  <w:p w:rsidR="001F2903" w:rsidRPr="00A10971" w:rsidRDefault="001F290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" w:hAnsi="Titillium" w:cs="Titillium Lt"/>
        <w:color w:val="656565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E</w:t>
    </w:r>
    <w:r w:rsidRPr="00A10971">
      <w:rPr>
        <w:rFonts w:ascii="Titillium" w:hAnsi="Titillium"/>
        <w:color w:val="31849B"/>
        <w:sz w:val="14"/>
        <w:szCs w:val="16"/>
        <w:lang w:val="hr-HR"/>
      </w:rPr>
      <w:tab/>
    </w:r>
    <w:r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uprava</w:t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>@imi.hr</w:t>
    </w:r>
  </w:p>
  <w:p w:rsidR="001F2903" w:rsidRPr="00A10971" w:rsidRDefault="001F2903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Titillium Lt" w:hAnsi="Titillium Lt" w:cs="Titillium Lt"/>
        <w:spacing w:val="3"/>
        <w:sz w:val="17"/>
        <w:szCs w:val="17"/>
        <w:lang w:val="hr-HR"/>
      </w:rPr>
    </w:pPr>
    <w:r w:rsidRPr="00A10971">
      <w:rPr>
        <w:rFonts w:ascii="Titillium" w:hAnsi="Titillium"/>
        <w:color w:val="31849B"/>
        <w:sz w:val="14"/>
        <w:szCs w:val="16"/>
        <w:lang w:val="hr-HR"/>
      </w:rPr>
      <w:t>A</w:t>
    </w:r>
    <w:r w:rsidRPr="00A10971">
      <w:rPr>
        <w:sz w:val="14"/>
        <w:szCs w:val="16"/>
        <w:lang w:val="hr-HR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  <w:lang w:val="hr-HR"/>
      </w:rPr>
      <w:t xml:space="preserve">Ksaverska cesta 2, 10 001 Zagreb </w:t>
    </w:r>
  </w:p>
  <w:p w:rsidR="001F2903" w:rsidRPr="00A10971" w:rsidRDefault="001F2903" w:rsidP="00A10971">
    <w:pPr>
      <w:tabs>
        <w:tab w:val="center" w:pos="58"/>
        <w:tab w:val="left" w:pos="212"/>
        <w:tab w:val="left" w:pos="382"/>
      </w:tabs>
      <w:suppressAutoHyphens/>
      <w:autoSpaceDE w:val="0"/>
      <w:autoSpaceDN w:val="0"/>
      <w:adjustRightInd w:val="0"/>
      <w:spacing w:after="0" w:line="288" w:lineRule="auto"/>
      <w:textAlignment w:val="center"/>
      <w:rPr>
        <w:rFonts w:ascii="Titillium Lt" w:hAnsi="Titillium Lt" w:cs="Titillium Lt"/>
        <w:color w:val="000000"/>
        <w:spacing w:val="3"/>
        <w:sz w:val="17"/>
        <w:szCs w:val="17"/>
      </w:rPr>
    </w:pPr>
    <w:r w:rsidRPr="00A10971">
      <w:rPr>
        <w:rFonts w:ascii="Titillium Lt" w:hAnsi="Titillium Lt" w:cs="Titillium Lt"/>
        <w:color w:val="000000"/>
        <w:spacing w:val="3"/>
        <w:sz w:val="17"/>
        <w:szCs w:val="17"/>
      </w:rPr>
      <w:tab/>
      <w:t xml:space="preserve">   </w:t>
    </w:r>
    <w:r w:rsidRPr="00A10971">
      <w:rPr>
        <w:rFonts w:ascii="Titillium Lt" w:hAnsi="Titillium Lt" w:cs="Titillium Lt"/>
        <w:color w:val="000000"/>
        <w:spacing w:val="3"/>
        <w:sz w:val="17"/>
        <w:szCs w:val="17"/>
      </w:rPr>
      <w:tab/>
    </w:r>
    <w:r w:rsidRPr="00A10971">
      <w:rPr>
        <w:rFonts w:ascii="Titillium Lt" w:hAnsi="Titillium Lt" w:cs="Titillium Lt"/>
        <w:color w:val="656565"/>
        <w:spacing w:val="3"/>
        <w:sz w:val="17"/>
        <w:szCs w:val="17"/>
      </w:rPr>
      <w:t xml:space="preserve">PO </w:t>
    </w:r>
    <w:proofErr w:type="spellStart"/>
    <w:r w:rsidRPr="00A10971">
      <w:rPr>
        <w:rFonts w:ascii="Titillium Lt" w:hAnsi="Titillium Lt" w:cs="Titillium Lt"/>
        <w:color w:val="656565"/>
        <w:spacing w:val="3"/>
        <w:sz w:val="17"/>
        <w:szCs w:val="17"/>
      </w:rPr>
      <w:t>Box</w:t>
    </w:r>
    <w:proofErr w:type="spellEnd"/>
    <w:r w:rsidRPr="00A10971">
      <w:rPr>
        <w:rFonts w:ascii="Titillium Lt" w:hAnsi="Titillium Lt" w:cs="Titillium Lt"/>
        <w:color w:val="656565"/>
        <w:spacing w:val="3"/>
        <w:sz w:val="17"/>
        <w:szCs w:val="17"/>
      </w:rPr>
      <w:t xml:space="preserve"> 291, Croatia</w:t>
    </w:r>
  </w:p>
  <w:p w:rsidR="001F2903" w:rsidRDefault="001F2903" w:rsidP="00B86D8B">
    <w:pPr>
      <w:pStyle w:val="Footer"/>
      <w:spacing w:after="120"/>
      <w:rPr>
        <w:rStyle w:val="Hyperlink"/>
        <w:rFonts w:ascii="Titillium Lt" w:hAnsi="Titillium Lt" w:cs="Titillium Lt"/>
        <w:spacing w:val="3"/>
        <w:sz w:val="17"/>
        <w:szCs w:val="17"/>
      </w:rPr>
    </w:pPr>
    <w:r w:rsidRPr="00A10971">
      <w:rPr>
        <w:rFonts w:ascii="Titillium" w:hAnsi="Titillium"/>
        <w:color w:val="31849B"/>
        <w:sz w:val="14"/>
        <w:szCs w:val="16"/>
      </w:rPr>
      <w:t>W</w:t>
    </w:r>
    <w:r w:rsidRPr="00A10971">
      <w:rPr>
        <w:rFonts w:ascii="Titillium" w:hAnsi="Titillium"/>
        <w:sz w:val="14"/>
        <w:szCs w:val="16"/>
      </w:rPr>
      <w:t xml:space="preserve">  </w:t>
    </w:r>
    <w:hyperlink r:id="rId1" w:history="1">
      <w:r w:rsidRPr="001E1FE9">
        <w:rPr>
          <w:rStyle w:val="Hyperlink"/>
          <w:rFonts w:ascii="Titillium Lt" w:hAnsi="Titillium Lt" w:cs="Titillium Lt"/>
          <w:spacing w:val="3"/>
          <w:sz w:val="17"/>
          <w:szCs w:val="17"/>
        </w:rPr>
        <w:t>www.imi.hr</w:t>
      </w:r>
    </w:hyperlink>
  </w:p>
  <w:p w:rsidR="001F2903" w:rsidRPr="00DF11FA" w:rsidRDefault="001F2903" w:rsidP="00B86D8B">
    <w:pPr>
      <w:pStyle w:val="Footer"/>
      <w:spacing w:after="120"/>
      <w:rPr>
        <w:rFonts w:ascii="Titillium Lt" w:hAnsi="Titillium Lt" w:cs="Titillium Lt"/>
        <w:color w:val="656565"/>
        <w:spacing w:val="3"/>
        <w:sz w:val="17"/>
        <w:szCs w:val="17"/>
      </w:rPr>
    </w:pPr>
    <w:r w:rsidRPr="00DF1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BA8ED7" wp14:editId="0806C3AC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1F2903" w:rsidRPr="0021783E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1F2903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1F2903" w:rsidRPr="0021783E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" w:hAnsi="Titillium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rFonts w:ascii="Titillium" w:hAnsi="Titillium"/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A8E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" filled="f" stroked="f" strokeweight=".5pt">
              <v:textbox>
                <w:txbxContent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1F2903" w:rsidRPr="0021783E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1F2903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1F2903" w:rsidRPr="0021783E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" w:hAnsi="Titillium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rFonts w:ascii="Titillium" w:hAnsi="Titillium"/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DF1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D50BD" wp14:editId="765F1F6D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1F2903" w:rsidRPr="0021783E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1F2903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1F2903" w:rsidRPr="0021783E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" w:hAnsi="Titillium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rFonts w:ascii="Titillium" w:hAnsi="Titillium"/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8D50BD" id="_x0000_s1027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XHPw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" filled="f" stroked="f" strokeweight=".5pt">
              <v:textbox>
                <w:txbxContent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1F2903" w:rsidRPr="0021783E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1F2903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1F2903" w:rsidRPr="0021783E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" w:hAnsi="Titillium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rFonts w:ascii="Titillium" w:hAnsi="Titillium"/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DF11FA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57E5A" wp14:editId="170D0FF3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1F2903" w:rsidRPr="00152339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1F2903" w:rsidRPr="0021783E" w:rsidRDefault="001F2903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1F2903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1F2903" w:rsidRPr="0021783E" w:rsidRDefault="001F2903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" w:hAnsi="Titillium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rFonts w:ascii="Titillium" w:hAnsi="Titillium"/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457E5A" id="_x0000_s1028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" filled="f" stroked="f" strokeweight=".5pt">
              <v:textbox>
                <w:txbxContent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1F2903" w:rsidRPr="00152339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1F2903" w:rsidRPr="0021783E" w:rsidRDefault="001F2903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1F2903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1F2903" w:rsidRPr="0021783E" w:rsidRDefault="001F2903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" w:hAnsi="Titillium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rFonts w:ascii="Titillium" w:hAnsi="Titillium"/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DF11FA">
      <w:rPr>
        <w:rStyle w:val="Hyperlink"/>
        <w:rFonts w:ascii="Titillium Lt" w:hAnsi="Titillium Lt" w:cs="Titillium Lt"/>
        <w:spacing w:val="3"/>
        <w:sz w:val="17"/>
        <w:szCs w:val="17"/>
        <w:u w:val="none"/>
      </w:rPr>
      <w:t>OIB 30285469659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B6B" w:rsidRDefault="00481B6B" w:rsidP="006173D9">
      <w:pPr>
        <w:spacing w:after="0" w:line="240" w:lineRule="auto"/>
      </w:pPr>
      <w:r>
        <w:separator/>
      </w:r>
    </w:p>
  </w:footnote>
  <w:footnote w:type="continuationSeparator" w:id="0">
    <w:p w:rsidR="00481B6B" w:rsidRDefault="00481B6B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03" w:rsidRDefault="001F2903" w:rsidP="00232126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3160395" cy="1572895"/>
          <wp:effectExtent l="0" t="0" r="1905" b="8255"/>
          <wp:docPr id="2" name="Picture 1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0395" cy="157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8F8"/>
    <w:multiLevelType w:val="hybridMultilevel"/>
    <w:tmpl w:val="46E0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3F20"/>
    <w:multiLevelType w:val="hybridMultilevel"/>
    <w:tmpl w:val="01160614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4C3"/>
    <w:multiLevelType w:val="hybridMultilevel"/>
    <w:tmpl w:val="B6D8012A"/>
    <w:lvl w:ilvl="0" w:tplc="0809000F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1EC47AD"/>
    <w:multiLevelType w:val="hybridMultilevel"/>
    <w:tmpl w:val="05B6547E"/>
    <w:lvl w:ilvl="0" w:tplc="95545A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472BE"/>
    <w:multiLevelType w:val="hybridMultilevel"/>
    <w:tmpl w:val="390E4158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1E4"/>
    <w:multiLevelType w:val="hybridMultilevel"/>
    <w:tmpl w:val="C3DC729C"/>
    <w:lvl w:ilvl="0" w:tplc="95545A0E">
      <w:start w:val="1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766743C"/>
    <w:multiLevelType w:val="hybridMultilevel"/>
    <w:tmpl w:val="B8DC4B8C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7" w15:restartNumberingAfterBreak="0">
    <w:nsid w:val="39C2193F"/>
    <w:multiLevelType w:val="hybridMultilevel"/>
    <w:tmpl w:val="94425278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39FA62CF"/>
    <w:multiLevelType w:val="hybridMultilevel"/>
    <w:tmpl w:val="E1CA8BC8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B5D7A"/>
    <w:multiLevelType w:val="hybridMultilevel"/>
    <w:tmpl w:val="CC184D9E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57C52"/>
    <w:multiLevelType w:val="hybridMultilevel"/>
    <w:tmpl w:val="5B4E19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DF253B"/>
    <w:multiLevelType w:val="hybridMultilevel"/>
    <w:tmpl w:val="0CE03586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486F"/>
    <w:multiLevelType w:val="hybridMultilevel"/>
    <w:tmpl w:val="420EA40E"/>
    <w:lvl w:ilvl="0" w:tplc="95545A0E">
      <w:start w:val="1"/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61C216AD"/>
    <w:multiLevelType w:val="hybridMultilevel"/>
    <w:tmpl w:val="5DAE5AF0"/>
    <w:lvl w:ilvl="0" w:tplc="95545A0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4A225C"/>
    <w:multiLevelType w:val="hybridMultilevel"/>
    <w:tmpl w:val="A716745A"/>
    <w:lvl w:ilvl="0" w:tplc="95545A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A5159"/>
    <w:multiLevelType w:val="hybridMultilevel"/>
    <w:tmpl w:val="2A2AFBD8"/>
    <w:lvl w:ilvl="0" w:tplc="95545A0E">
      <w:start w:val="1"/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E9C2541"/>
    <w:multiLevelType w:val="hybridMultilevel"/>
    <w:tmpl w:val="C4AEBA86"/>
    <w:lvl w:ilvl="0" w:tplc="95545A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9E4A46"/>
    <w:multiLevelType w:val="hybridMultilevel"/>
    <w:tmpl w:val="5F9C59B6"/>
    <w:lvl w:ilvl="0" w:tplc="95545A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D34799"/>
    <w:multiLevelType w:val="hybridMultilevel"/>
    <w:tmpl w:val="F2124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9"/>
  </w:num>
  <w:num w:numId="5">
    <w:abstractNumId w:val="18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D9"/>
    <w:rsid w:val="00000B7E"/>
    <w:rsid w:val="0000505F"/>
    <w:rsid w:val="0000701A"/>
    <w:rsid w:val="000136B1"/>
    <w:rsid w:val="00016382"/>
    <w:rsid w:val="000165FD"/>
    <w:rsid w:val="000201AC"/>
    <w:rsid w:val="000210D8"/>
    <w:rsid w:val="00024F26"/>
    <w:rsid w:val="00044166"/>
    <w:rsid w:val="000522A3"/>
    <w:rsid w:val="000560D5"/>
    <w:rsid w:val="000623F2"/>
    <w:rsid w:val="00073869"/>
    <w:rsid w:val="00087013"/>
    <w:rsid w:val="000923DC"/>
    <w:rsid w:val="00095E23"/>
    <w:rsid w:val="000A111C"/>
    <w:rsid w:val="000A3A35"/>
    <w:rsid w:val="000A5523"/>
    <w:rsid w:val="000B11AF"/>
    <w:rsid w:val="000B1CD6"/>
    <w:rsid w:val="000C0D07"/>
    <w:rsid w:val="000C60C5"/>
    <w:rsid w:val="000C7A48"/>
    <w:rsid w:val="000E331B"/>
    <w:rsid w:val="000E56BC"/>
    <w:rsid w:val="000E6A68"/>
    <w:rsid w:val="000F39AB"/>
    <w:rsid w:val="000F4E90"/>
    <w:rsid w:val="000F6B03"/>
    <w:rsid w:val="0010162C"/>
    <w:rsid w:val="00106687"/>
    <w:rsid w:val="00113F9E"/>
    <w:rsid w:val="00121309"/>
    <w:rsid w:val="001230B5"/>
    <w:rsid w:val="001261F8"/>
    <w:rsid w:val="00132F61"/>
    <w:rsid w:val="00137AA3"/>
    <w:rsid w:val="00167184"/>
    <w:rsid w:val="00173AC1"/>
    <w:rsid w:val="0017530A"/>
    <w:rsid w:val="00176E28"/>
    <w:rsid w:val="001825D6"/>
    <w:rsid w:val="001852B8"/>
    <w:rsid w:val="0019132D"/>
    <w:rsid w:val="00191CD6"/>
    <w:rsid w:val="00192DDC"/>
    <w:rsid w:val="001966B2"/>
    <w:rsid w:val="00197CF0"/>
    <w:rsid w:val="001A0B21"/>
    <w:rsid w:val="001A0C9F"/>
    <w:rsid w:val="001A0CF2"/>
    <w:rsid w:val="001A1849"/>
    <w:rsid w:val="001A48D2"/>
    <w:rsid w:val="001B21E4"/>
    <w:rsid w:val="001B5667"/>
    <w:rsid w:val="001C0B30"/>
    <w:rsid w:val="001C4141"/>
    <w:rsid w:val="001E2D3A"/>
    <w:rsid w:val="001F04F8"/>
    <w:rsid w:val="001F1473"/>
    <w:rsid w:val="001F2903"/>
    <w:rsid w:val="001F727D"/>
    <w:rsid w:val="001F7592"/>
    <w:rsid w:val="00205534"/>
    <w:rsid w:val="0020695F"/>
    <w:rsid w:val="00207345"/>
    <w:rsid w:val="002110C1"/>
    <w:rsid w:val="002114DD"/>
    <w:rsid w:val="00224791"/>
    <w:rsid w:val="00224CD9"/>
    <w:rsid w:val="0023052A"/>
    <w:rsid w:val="00232126"/>
    <w:rsid w:val="00232F3B"/>
    <w:rsid w:val="00236120"/>
    <w:rsid w:val="0023685F"/>
    <w:rsid w:val="00236F57"/>
    <w:rsid w:val="00241C95"/>
    <w:rsid w:val="00242078"/>
    <w:rsid w:val="00247D6E"/>
    <w:rsid w:val="0025096A"/>
    <w:rsid w:val="00252FF8"/>
    <w:rsid w:val="00254153"/>
    <w:rsid w:val="002572DC"/>
    <w:rsid w:val="00263DD3"/>
    <w:rsid w:val="00264D71"/>
    <w:rsid w:val="00266E72"/>
    <w:rsid w:val="002672B9"/>
    <w:rsid w:val="002719B6"/>
    <w:rsid w:val="00285535"/>
    <w:rsid w:val="002919ED"/>
    <w:rsid w:val="00294F0C"/>
    <w:rsid w:val="002974E7"/>
    <w:rsid w:val="002A0AA7"/>
    <w:rsid w:val="002A28D7"/>
    <w:rsid w:val="002A4DBD"/>
    <w:rsid w:val="002A4F04"/>
    <w:rsid w:val="002B7C03"/>
    <w:rsid w:val="002C459F"/>
    <w:rsid w:val="002C5F0A"/>
    <w:rsid w:val="002D1A98"/>
    <w:rsid w:val="002D5B61"/>
    <w:rsid w:val="002E01E0"/>
    <w:rsid w:val="002E3910"/>
    <w:rsid w:val="002E3EC9"/>
    <w:rsid w:val="002F0355"/>
    <w:rsid w:val="002F52A7"/>
    <w:rsid w:val="0030137F"/>
    <w:rsid w:val="0030269E"/>
    <w:rsid w:val="00303107"/>
    <w:rsid w:val="003068BF"/>
    <w:rsid w:val="003114F9"/>
    <w:rsid w:val="0031294D"/>
    <w:rsid w:val="00314E9B"/>
    <w:rsid w:val="0032249A"/>
    <w:rsid w:val="00324994"/>
    <w:rsid w:val="00326223"/>
    <w:rsid w:val="003306A2"/>
    <w:rsid w:val="0033132C"/>
    <w:rsid w:val="00334C35"/>
    <w:rsid w:val="003356C9"/>
    <w:rsid w:val="00341A8B"/>
    <w:rsid w:val="00345184"/>
    <w:rsid w:val="0034733D"/>
    <w:rsid w:val="0035254A"/>
    <w:rsid w:val="00353092"/>
    <w:rsid w:val="00362118"/>
    <w:rsid w:val="003643F3"/>
    <w:rsid w:val="003646A7"/>
    <w:rsid w:val="00365B28"/>
    <w:rsid w:val="00372E3A"/>
    <w:rsid w:val="00373769"/>
    <w:rsid w:val="00373866"/>
    <w:rsid w:val="00381FD2"/>
    <w:rsid w:val="0038322C"/>
    <w:rsid w:val="00393B89"/>
    <w:rsid w:val="0039494F"/>
    <w:rsid w:val="00395845"/>
    <w:rsid w:val="003A7F0E"/>
    <w:rsid w:val="003B0194"/>
    <w:rsid w:val="003B0C35"/>
    <w:rsid w:val="003B4001"/>
    <w:rsid w:val="003B4565"/>
    <w:rsid w:val="003B5129"/>
    <w:rsid w:val="003C69CA"/>
    <w:rsid w:val="003D2CF9"/>
    <w:rsid w:val="003D384D"/>
    <w:rsid w:val="003E0B81"/>
    <w:rsid w:val="003E2906"/>
    <w:rsid w:val="003E2A8A"/>
    <w:rsid w:val="003E4490"/>
    <w:rsid w:val="003E5789"/>
    <w:rsid w:val="003E7381"/>
    <w:rsid w:val="003F0201"/>
    <w:rsid w:val="003F1C22"/>
    <w:rsid w:val="003F7E34"/>
    <w:rsid w:val="004034D2"/>
    <w:rsid w:val="00404106"/>
    <w:rsid w:val="00404E4A"/>
    <w:rsid w:val="0041737B"/>
    <w:rsid w:val="004201B6"/>
    <w:rsid w:val="00435CB3"/>
    <w:rsid w:val="00440A02"/>
    <w:rsid w:val="00441C2B"/>
    <w:rsid w:val="004444FD"/>
    <w:rsid w:val="00444F65"/>
    <w:rsid w:val="00451A9B"/>
    <w:rsid w:val="004530E6"/>
    <w:rsid w:val="004608B4"/>
    <w:rsid w:val="00460E1F"/>
    <w:rsid w:val="0046163E"/>
    <w:rsid w:val="00470D7C"/>
    <w:rsid w:val="00471752"/>
    <w:rsid w:val="004717B9"/>
    <w:rsid w:val="00471A45"/>
    <w:rsid w:val="00474B7D"/>
    <w:rsid w:val="00474E0A"/>
    <w:rsid w:val="00475948"/>
    <w:rsid w:val="00476D33"/>
    <w:rsid w:val="004777E4"/>
    <w:rsid w:val="00481B6B"/>
    <w:rsid w:val="004878D7"/>
    <w:rsid w:val="004A6DEA"/>
    <w:rsid w:val="004B1C2D"/>
    <w:rsid w:val="004B5000"/>
    <w:rsid w:val="004B637F"/>
    <w:rsid w:val="004B6A08"/>
    <w:rsid w:val="004C1F47"/>
    <w:rsid w:val="004C7A04"/>
    <w:rsid w:val="004C7B85"/>
    <w:rsid w:val="004C7FF1"/>
    <w:rsid w:val="004D1182"/>
    <w:rsid w:val="004D1B8D"/>
    <w:rsid w:val="004D38AF"/>
    <w:rsid w:val="004D7DD0"/>
    <w:rsid w:val="004E5B62"/>
    <w:rsid w:val="004F019C"/>
    <w:rsid w:val="004F3636"/>
    <w:rsid w:val="004F42C8"/>
    <w:rsid w:val="004F71FA"/>
    <w:rsid w:val="004F7C41"/>
    <w:rsid w:val="005016F9"/>
    <w:rsid w:val="00503086"/>
    <w:rsid w:val="005059CC"/>
    <w:rsid w:val="005065DD"/>
    <w:rsid w:val="00516965"/>
    <w:rsid w:val="00524FEC"/>
    <w:rsid w:val="005318C5"/>
    <w:rsid w:val="0053681E"/>
    <w:rsid w:val="00537C51"/>
    <w:rsid w:val="00542D00"/>
    <w:rsid w:val="00544556"/>
    <w:rsid w:val="00545009"/>
    <w:rsid w:val="00554674"/>
    <w:rsid w:val="005563DB"/>
    <w:rsid w:val="0056160E"/>
    <w:rsid w:val="00564830"/>
    <w:rsid w:val="005727AD"/>
    <w:rsid w:val="005746BA"/>
    <w:rsid w:val="0058141D"/>
    <w:rsid w:val="00581546"/>
    <w:rsid w:val="00583B3C"/>
    <w:rsid w:val="00585270"/>
    <w:rsid w:val="0058537E"/>
    <w:rsid w:val="0058556C"/>
    <w:rsid w:val="00585BFD"/>
    <w:rsid w:val="005861FE"/>
    <w:rsid w:val="00586778"/>
    <w:rsid w:val="005911A3"/>
    <w:rsid w:val="00595C19"/>
    <w:rsid w:val="0059649B"/>
    <w:rsid w:val="005A49EC"/>
    <w:rsid w:val="005A7588"/>
    <w:rsid w:val="005B2A49"/>
    <w:rsid w:val="005B2EFF"/>
    <w:rsid w:val="005B3CD4"/>
    <w:rsid w:val="005C3859"/>
    <w:rsid w:val="005C4998"/>
    <w:rsid w:val="005C6544"/>
    <w:rsid w:val="005C72EA"/>
    <w:rsid w:val="005D10EB"/>
    <w:rsid w:val="005D2BB9"/>
    <w:rsid w:val="005D5F47"/>
    <w:rsid w:val="005E6424"/>
    <w:rsid w:val="005F358D"/>
    <w:rsid w:val="005F37AA"/>
    <w:rsid w:val="005F6D3D"/>
    <w:rsid w:val="005F7ED7"/>
    <w:rsid w:val="006012B0"/>
    <w:rsid w:val="006023C7"/>
    <w:rsid w:val="006043F5"/>
    <w:rsid w:val="00607117"/>
    <w:rsid w:val="00611D15"/>
    <w:rsid w:val="00614C26"/>
    <w:rsid w:val="00615B5C"/>
    <w:rsid w:val="006173D9"/>
    <w:rsid w:val="00623FE8"/>
    <w:rsid w:val="0062490B"/>
    <w:rsid w:val="00624C19"/>
    <w:rsid w:val="006337AA"/>
    <w:rsid w:val="006349FE"/>
    <w:rsid w:val="00635DB4"/>
    <w:rsid w:val="00637F35"/>
    <w:rsid w:val="0064017C"/>
    <w:rsid w:val="00640C94"/>
    <w:rsid w:val="00641493"/>
    <w:rsid w:val="006449CF"/>
    <w:rsid w:val="00645341"/>
    <w:rsid w:val="006475B5"/>
    <w:rsid w:val="006507A4"/>
    <w:rsid w:val="0065204C"/>
    <w:rsid w:val="00652CBE"/>
    <w:rsid w:val="006531D8"/>
    <w:rsid w:val="0065326B"/>
    <w:rsid w:val="00653BA4"/>
    <w:rsid w:val="00660F4F"/>
    <w:rsid w:val="00667914"/>
    <w:rsid w:val="00670DD1"/>
    <w:rsid w:val="00672A6B"/>
    <w:rsid w:val="0067382A"/>
    <w:rsid w:val="006831E4"/>
    <w:rsid w:val="00695D83"/>
    <w:rsid w:val="006A1BB6"/>
    <w:rsid w:val="006A4045"/>
    <w:rsid w:val="006B006A"/>
    <w:rsid w:val="006B4A70"/>
    <w:rsid w:val="006B4B82"/>
    <w:rsid w:val="006B6BEB"/>
    <w:rsid w:val="006D02EC"/>
    <w:rsid w:val="006D0CB4"/>
    <w:rsid w:val="006D66CF"/>
    <w:rsid w:val="006E1CA0"/>
    <w:rsid w:val="006E4A9B"/>
    <w:rsid w:val="006E53F4"/>
    <w:rsid w:val="006F636D"/>
    <w:rsid w:val="006F7178"/>
    <w:rsid w:val="007035D5"/>
    <w:rsid w:val="00705673"/>
    <w:rsid w:val="0070665A"/>
    <w:rsid w:val="00714826"/>
    <w:rsid w:val="00717F78"/>
    <w:rsid w:val="00720E48"/>
    <w:rsid w:val="0072329C"/>
    <w:rsid w:val="00723D23"/>
    <w:rsid w:val="0072527E"/>
    <w:rsid w:val="00725CCE"/>
    <w:rsid w:val="007278FD"/>
    <w:rsid w:val="00734178"/>
    <w:rsid w:val="007441EC"/>
    <w:rsid w:val="007447AD"/>
    <w:rsid w:val="0074572F"/>
    <w:rsid w:val="00745DC6"/>
    <w:rsid w:val="007477A9"/>
    <w:rsid w:val="00750176"/>
    <w:rsid w:val="00750FC8"/>
    <w:rsid w:val="00751FBE"/>
    <w:rsid w:val="00752AF4"/>
    <w:rsid w:val="0076497A"/>
    <w:rsid w:val="007655F6"/>
    <w:rsid w:val="0077062F"/>
    <w:rsid w:val="007722AB"/>
    <w:rsid w:val="00773FFB"/>
    <w:rsid w:val="00775AFD"/>
    <w:rsid w:val="00780E04"/>
    <w:rsid w:val="0078222C"/>
    <w:rsid w:val="00783027"/>
    <w:rsid w:val="007832D1"/>
    <w:rsid w:val="00785CC6"/>
    <w:rsid w:val="00786102"/>
    <w:rsid w:val="00790242"/>
    <w:rsid w:val="007926DE"/>
    <w:rsid w:val="007A02B0"/>
    <w:rsid w:val="007A17F5"/>
    <w:rsid w:val="007A57C4"/>
    <w:rsid w:val="007A7800"/>
    <w:rsid w:val="007B1CE0"/>
    <w:rsid w:val="007C28DC"/>
    <w:rsid w:val="007C3B67"/>
    <w:rsid w:val="007C4C62"/>
    <w:rsid w:val="007D14AA"/>
    <w:rsid w:val="007D2C99"/>
    <w:rsid w:val="007E19C4"/>
    <w:rsid w:val="007E1F60"/>
    <w:rsid w:val="007E51F7"/>
    <w:rsid w:val="007E72DA"/>
    <w:rsid w:val="007F1A5D"/>
    <w:rsid w:val="008022CE"/>
    <w:rsid w:val="00804BB8"/>
    <w:rsid w:val="008058A4"/>
    <w:rsid w:val="008073F2"/>
    <w:rsid w:val="00810711"/>
    <w:rsid w:val="00814FAC"/>
    <w:rsid w:val="008167E4"/>
    <w:rsid w:val="00824502"/>
    <w:rsid w:val="0082574B"/>
    <w:rsid w:val="008265DA"/>
    <w:rsid w:val="00826C78"/>
    <w:rsid w:val="00827752"/>
    <w:rsid w:val="00831B53"/>
    <w:rsid w:val="00836790"/>
    <w:rsid w:val="008368F1"/>
    <w:rsid w:val="0083720D"/>
    <w:rsid w:val="008430E6"/>
    <w:rsid w:val="00843878"/>
    <w:rsid w:val="00845EB4"/>
    <w:rsid w:val="00850C37"/>
    <w:rsid w:val="008519A7"/>
    <w:rsid w:val="00854206"/>
    <w:rsid w:val="0085669F"/>
    <w:rsid w:val="008625CF"/>
    <w:rsid w:val="00864ACE"/>
    <w:rsid w:val="0086532D"/>
    <w:rsid w:val="00871831"/>
    <w:rsid w:val="0087279A"/>
    <w:rsid w:val="00880AAB"/>
    <w:rsid w:val="00883BCE"/>
    <w:rsid w:val="00884E1A"/>
    <w:rsid w:val="00885212"/>
    <w:rsid w:val="0088794C"/>
    <w:rsid w:val="008A32C5"/>
    <w:rsid w:val="008A425F"/>
    <w:rsid w:val="008A6E1D"/>
    <w:rsid w:val="008B43F5"/>
    <w:rsid w:val="008B7073"/>
    <w:rsid w:val="008B7395"/>
    <w:rsid w:val="008B787D"/>
    <w:rsid w:val="008C2D58"/>
    <w:rsid w:val="008C3A80"/>
    <w:rsid w:val="008C5DCD"/>
    <w:rsid w:val="008D0FEB"/>
    <w:rsid w:val="008D6A2C"/>
    <w:rsid w:val="008E0E7D"/>
    <w:rsid w:val="008E6CCA"/>
    <w:rsid w:val="008F0C99"/>
    <w:rsid w:val="008F2221"/>
    <w:rsid w:val="008F6362"/>
    <w:rsid w:val="008F7532"/>
    <w:rsid w:val="00900D0D"/>
    <w:rsid w:val="00901554"/>
    <w:rsid w:val="00914913"/>
    <w:rsid w:val="0092050C"/>
    <w:rsid w:val="00924C4E"/>
    <w:rsid w:val="009254ED"/>
    <w:rsid w:val="00930EB8"/>
    <w:rsid w:val="009328AF"/>
    <w:rsid w:val="00932C9C"/>
    <w:rsid w:val="009348E3"/>
    <w:rsid w:val="00936151"/>
    <w:rsid w:val="00940204"/>
    <w:rsid w:val="009411DF"/>
    <w:rsid w:val="00946A27"/>
    <w:rsid w:val="00962623"/>
    <w:rsid w:val="00963A57"/>
    <w:rsid w:val="009642A7"/>
    <w:rsid w:val="009658B1"/>
    <w:rsid w:val="009670F6"/>
    <w:rsid w:val="009704C4"/>
    <w:rsid w:val="00974D38"/>
    <w:rsid w:val="00980D15"/>
    <w:rsid w:val="009850F0"/>
    <w:rsid w:val="009865C5"/>
    <w:rsid w:val="00994BB7"/>
    <w:rsid w:val="00996250"/>
    <w:rsid w:val="009A44F2"/>
    <w:rsid w:val="009A53AC"/>
    <w:rsid w:val="009A5468"/>
    <w:rsid w:val="009A5CDE"/>
    <w:rsid w:val="009A798D"/>
    <w:rsid w:val="009B0631"/>
    <w:rsid w:val="009B07A6"/>
    <w:rsid w:val="009B2EF1"/>
    <w:rsid w:val="009B38E6"/>
    <w:rsid w:val="009C0988"/>
    <w:rsid w:val="009C0C22"/>
    <w:rsid w:val="009C2008"/>
    <w:rsid w:val="009C4C2B"/>
    <w:rsid w:val="009D2223"/>
    <w:rsid w:val="009D286F"/>
    <w:rsid w:val="009D3C51"/>
    <w:rsid w:val="009D542F"/>
    <w:rsid w:val="009E0C0F"/>
    <w:rsid w:val="009F0CC9"/>
    <w:rsid w:val="009F3237"/>
    <w:rsid w:val="009F3BCE"/>
    <w:rsid w:val="009F3CC5"/>
    <w:rsid w:val="009F4F7F"/>
    <w:rsid w:val="00A02102"/>
    <w:rsid w:val="00A026A1"/>
    <w:rsid w:val="00A0427E"/>
    <w:rsid w:val="00A072FD"/>
    <w:rsid w:val="00A07F93"/>
    <w:rsid w:val="00A10971"/>
    <w:rsid w:val="00A13640"/>
    <w:rsid w:val="00A1368D"/>
    <w:rsid w:val="00A1436D"/>
    <w:rsid w:val="00A1686A"/>
    <w:rsid w:val="00A16AAB"/>
    <w:rsid w:val="00A16D67"/>
    <w:rsid w:val="00A205FB"/>
    <w:rsid w:val="00A25FA8"/>
    <w:rsid w:val="00A30766"/>
    <w:rsid w:val="00A33076"/>
    <w:rsid w:val="00A33818"/>
    <w:rsid w:val="00A350FB"/>
    <w:rsid w:val="00A44402"/>
    <w:rsid w:val="00A44413"/>
    <w:rsid w:val="00A45A4D"/>
    <w:rsid w:val="00A54BD3"/>
    <w:rsid w:val="00A55A84"/>
    <w:rsid w:val="00A5761C"/>
    <w:rsid w:val="00A66BC1"/>
    <w:rsid w:val="00A67BB3"/>
    <w:rsid w:val="00A71054"/>
    <w:rsid w:val="00A758DB"/>
    <w:rsid w:val="00A76BD6"/>
    <w:rsid w:val="00A86D81"/>
    <w:rsid w:val="00A910E6"/>
    <w:rsid w:val="00A94961"/>
    <w:rsid w:val="00AA4D7B"/>
    <w:rsid w:val="00AA6AEC"/>
    <w:rsid w:val="00AB3E79"/>
    <w:rsid w:val="00AB5D2C"/>
    <w:rsid w:val="00AB6D4F"/>
    <w:rsid w:val="00AB7389"/>
    <w:rsid w:val="00AC32F8"/>
    <w:rsid w:val="00AC330B"/>
    <w:rsid w:val="00AD6885"/>
    <w:rsid w:val="00AE1655"/>
    <w:rsid w:val="00AE1B0F"/>
    <w:rsid w:val="00AE5FFE"/>
    <w:rsid w:val="00AF0AE7"/>
    <w:rsid w:val="00AF535A"/>
    <w:rsid w:val="00AF5BAE"/>
    <w:rsid w:val="00B00896"/>
    <w:rsid w:val="00B00D36"/>
    <w:rsid w:val="00B011AE"/>
    <w:rsid w:val="00B018E2"/>
    <w:rsid w:val="00B02282"/>
    <w:rsid w:val="00B067AA"/>
    <w:rsid w:val="00B16F2F"/>
    <w:rsid w:val="00B16F5B"/>
    <w:rsid w:val="00B2220C"/>
    <w:rsid w:val="00B2629D"/>
    <w:rsid w:val="00B2644F"/>
    <w:rsid w:val="00B33D15"/>
    <w:rsid w:val="00B36696"/>
    <w:rsid w:val="00B368C0"/>
    <w:rsid w:val="00B36A6D"/>
    <w:rsid w:val="00B37199"/>
    <w:rsid w:val="00B378FF"/>
    <w:rsid w:val="00B5171E"/>
    <w:rsid w:val="00B51DB0"/>
    <w:rsid w:val="00B52B68"/>
    <w:rsid w:val="00B57B18"/>
    <w:rsid w:val="00B63914"/>
    <w:rsid w:val="00B744EE"/>
    <w:rsid w:val="00B77B5F"/>
    <w:rsid w:val="00B8456B"/>
    <w:rsid w:val="00B86317"/>
    <w:rsid w:val="00B86D8B"/>
    <w:rsid w:val="00B8709C"/>
    <w:rsid w:val="00B93850"/>
    <w:rsid w:val="00B94D79"/>
    <w:rsid w:val="00BA098B"/>
    <w:rsid w:val="00BA332E"/>
    <w:rsid w:val="00BA58BA"/>
    <w:rsid w:val="00BA6C0C"/>
    <w:rsid w:val="00BC1D86"/>
    <w:rsid w:val="00BC51CF"/>
    <w:rsid w:val="00BC7869"/>
    <w:rsid w:val="00BD21C2"/>
    <w:rsid w:val="00BD7817"/>
    <w:rsid w:val="00BE0393"/>
    <w:rsid w:val="00BE0AA9"/>
    <w:rsid w:val="00BF0807"/>
    <w:rsid w:val="00BF0D51"/>
    <w:rsid w:val="00BF3FD2"/>
    <w:rsid w:val="00BF4317"/>
    <w:rsid w:val="00BF5AE0"/>
    <w:rsid w:val="00BF6DE0"/>
    <w:rsid w:val="00C014AE"/>
    <w:rsid w:val="00C0154C"/>
    <w:rsid w:val="00C017EA"/>
    <w:rsid w:val="00C01BD8"/>
    <w:rsid w:val="00C03F3D"/>
    <w:rsid w:val="00C060BC"/>
    <w:rsid w:val="00C11285"/>
    <w:rsid w:val="00C12ACF"/>
    <w:rsid w:val="00C14E3D"/>
    <w:rsid w:val="00C16B4C"/>
    <w:rsid w:val="00C172D1"/>
    <w:rsid w:val="00C223CE"/>
    <w:rsid w:val="00C23A94"/>
    <w:rsid w:val="00C248CA"/>
    <w:rsid w:val="00C261AF"/>
    <w:rsid w:val="00C32A63"/>
    <w:rsid w:val="00C33057"/>
    <w:rsid w:val="00C3372C"/>
    <w:rsid w:val="00C33883"/>
    <w:rsid w:val="00C34B0A"/>
    <w:rsid w:val="00C37762"/>
    <w:rsid w:val="00C431E5"/>
    <w:rsid w:val="00C5281F"/>
    <w:rsid w:val="00C52868"/>
    <w:rsid w:val="00C53A61"/>
    <w:rsid w:val="00C65EEC"/>
    <w:rsid w:val="00C771EF"/>
    <w:rsid w:val="00C82791"/>
    <w:rsid w:val="00C8315F"/>
    <w:rsid w:val="00C85E90"/>
    <w:rsid w:val="00C87B8C"/>
    <w:rsid w:val="00C95741"/>
    <w:rsid w:val="00CA0D94"/>
    <w:rsid w:val="00CA2E52"/>
    <w:rsid w:val="00CA44E6"/>
    <w:rsid w:val="00CB59D4"/>
    <w:rsid w:val="00CB65E7"/>
    <w:rsid w:val="00CB69FC"/>
    <w:rsid w:val="00CB7269"/>
    <w:rsid w:val="00CC03DD"/>
    <w:rsid w:val="00CC6831"/>
    <w:rsid w:val="00CD100F"/>
    <w:rsid w:val="00CD5391"/>
    <w:rsid w:val="00CD6017"/>
    <w:rsid w:val="00CD7C67"/>
    <w:rsid w:val="00CE0E89"/>
    <w:rsid w:val="00CE449D"/>
    <w:rsid w:val="00CF36F3"/>
    <w:rsid w:val="00D00013"/>
    <w:rsid w:val="00D02BC7"/>
    <w:rsid w:val="00D04338"/>
    <w:rsid w:val="00D053FD"/>
    <w:rsid w:val="00D06E02"/>
    <w:rsid w:val="00D17302"/>
    <w:rsid w:val="00D22976"/>
    <w:rsid w:val="00D2557B"/>
    <w:rsid w:val="00D25D13"/>
    <w:rsid w:val="00D27138"/>
    <w:rsid w:val="00D27181"/>
    <w:rsid w:val="00D2727D"/>
    <w:rsid w:val="00D30225"/>
    <w:rsid w:val="00D31158"/>
    <w:rsid w:val="00D321B2"/>
    <w:rsid w:val="00D3527D"/>
    <w:rsid w:val="00D35916"/>
    <w:rsid w:val="00D36ACD"/>
    <w:rsid w:val="00D4301A"/>
    <w:rsid w:val="00D43090"/>
    <w:rsid w:val="00D4360A"/>
    <w:rsid w:val="00D448AD"/>
    <w:rsid w:val="00D50BED"/>
    <w:rsid w:val="00D515D2"/>
    <w:rsid w:val="00D63BAD"/>
    <w:rsid w:val="00D6431D"/>
    <w:rsid w:val="00D721C7"/>
    <w:rsid w:val="00D80DFA"/>
    <w:rsid w:val="00D82503"/>
    <w:rsid w:val="00D82E26"/>
    <w:rsid w:val="00D8652D"/>
    <w:rsid w:val="00D86E50"/>
    <w:rsid w:val="00D86FCF"/>
    <w:rsid w:val="00D95D4C"/>
    <w:rsid w:val="00D96C22"/>
    <w:rsid w:val="00D971B0"/>
    <w:rsid w:val="00DA1576"/>
    <w:rsid w:val="00DA241C"/>
    <w:rsid w:val="00DA2CB3"/>
    <w:rsid w:val="00DA3168"/>
    <w:rsid w:val="00DA4383"/>
    <w:rsid w:val="00DA48CA"/>
    <w:rsid w:val="00DA5117"/>
    <w:rsid w:val="00DA7E69"/>
    <w:rsid w:val="00DC5B17"/>
    <w:rsid w:val="00DC73DF"/>
    <w:rsid w:val="00DD542E"/>
    <w:rsid w:val="00DE766E"/>
    <w:rsid w:val="00DF0473"/>
    <w:rsid w:val="00DF11FA"/>
    <w:rsid w:val="00DF4263"/>
    <w:rsid w:val="00E01FD6"/>
    <w:rsid w:val="00E04A73"/>
    <w:rsid w:val="00E12F51"/>
    <w:rsid w:val="00E13112"/>
    <w:rsid w:val="00E13B0C"/>
    <w:rsid w:val="00E14135"/>
    <w:rsid w:val="00E20908"/>
    <w:rsid w:val="00E22187"/>
    <w:rsid w:val="00E2414C"/>
    <w:rsid w:val="00E33200"/>
    <w:rsid w:val="00E33472"/>
    <w:rsid w:val="00E35BD6"/>
    <w:rsid w:val="00E423BE"/>
    <w:rsid w:val="00E4374A"/>
    <w:rsid w:val="00E46EFB"/>
    <w:rsid w:val="00E53B68"/>
    <w:rsid w:val="00E557E1"/>
    <w:rsid w:val="00E57B3F"/>
    <w:rsid w:val="00E60076"/>
    <w:rsid w:val="00E61224"/>
    <w:rsid w:val="00E64A3D"/>
    <w:rsid w:val="00E7146D"/>
    <w:rsid w:val="00E7373D"/>
    <w:rsid w:val="00E751D0"/>
    <w:rsid w:val="00E81A66"/>
    <w:rsid w:val="00E83A1C"/>
    <w:rsid w:val="00E90797"/>
    <w:rsid w:val="00E93BF2"/>
    <w:rsid w:val="00E94FC6"/>
    <w:rsid w:val="00EA1F06"/>
    <w:rsid w:val="00EA3CB5"/>
    <w:rsid w:val="00EA4FA5"/>
    <w:rsid w:val="00EA5205"/>
    <w:rsid w:val="00EA61BB"/>
    <w:rsid w:val="00EA71F0"/>
    <w:rsid w:val="00EA79A8"/>
    <w:rsid w:val="00EB021E"/>
    <w:rsid w:val="00EB35B7"/>
    <w:rsid w:val="00EB3A07"/>
    <w:rsid w:val="00EB4E11"/>
    <w:rsid w:val="00EB58FB"/>
    <w:rsid w:val="00EC3B8C"/>
    <w:rsid w:val="00EC5BEA"/>
    <w:rsid w:val="00ED2E90"/>
    <w:rsid w:val="00EE481D"/>
    <w:rsid w:val="00EE4B2E"/>
    <w:rsid w:val="00EF14C0"/>
    <w:rsid w:val="00EF221F"/>
    <w:rsid w:val="00EF4422"/>
    <w:rsid w:val="00EF4465"/>
    <w:rsid w:val="00EF56D7"/>
    <w:rsid w:val="00EF6E25"/>
    <w:rsid w:val="00EF7EEC"/>
    <w:rsid w:val="00EF7FF9"/>
    <w:rsid w:val="00F01AFB"/>
    <w:rsid w:val="00F02567"/>
    <w:rsid w:val="00F05F5B"/>
    <w:rsid w:val="00F1387B"/>
    <w:rsid w:val="00F2393A"/>
    <w:rsid w:val="00F24537"/>
    <w:rsid w:val="00F24E2B"/>
    <w:rsid w:val="00F25658"/>
    <w:rsid w:val="00F256A4"/>
    <w:rsid w:val="00F34DF1"/>
    <w:rsid w:val="00F3550C"/>
    <w:rsid w:val="00F40560"/>
    <w:rsid w:val="00F41D4D"/>
    <w:rsid w:val="00F41E88"/>
    <w:rsid w:val="00F42E6E"/>
    <w:rsid w:val="00F54E5A"/>
    <w:rsid w:val="00F55DD2"/>
    <w:rsid w:val="00F56F0C"/>
    <w:rsid w:val="00F578B5"/>
    <w:rsid w:val="00F64121"/>
    <w:rsid w:val="00F67909"/>
    <w:rsid w:val="00F719A7"/>
    <w:rsid w:val="00F74139"/>
    <w:rsid w:val="00F7469E"/>
    <w:rsid w:val="00F768CE"/>
    <w:rsid w:val="00F801BA"/>
    <w:rsid w:val="00F85BA7"/>
    <w:rsid w:val="00F91076"/>
    <w:rsid w:val="00F96AB5"/>
    <w:rsid w:val="00FB5156"/>
    <w:rsid w:val="00FC0F7C"/>
    <w:rsid w:val="00FC1A3F"/>
    <w:rsid w:val="00FC3156"/>
    <w:rsid w:val="00FC78B3"/>
    <w:rsid w:val="00FD0876"/>
    <w:rsid w:val="00FD09F2"/>
    <w:rsid w:val="00FD12F4"/>
    <w:rsid w:val="00FD69A6"/>
    <w:rsid w:val="00FE4EDD"/>
    <w:rsid w:val="00FE651B"/>
    <w:rsid w:val="00FF13E3"/>
    <w:rsid w:val="00FF2B1D"/>
    <w:rsid w:val="00FF49F8"/>
    <w:rsid w:val="00FF5C23"/>
    <w:rsid w:val="00FF607A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DD8F0"/>
  <w15:docId w15:val="{35C08530-6422-44B0-8247-A7C5B248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="Calibri" w:hAnsi="Titillium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971"/>
    <w:pPr>
      <w:spacing w:after="200" w:line="276" w:lineRule="auto"/>
    </w:pPr>
    <w:rPr>
      <w:rFonts w:ascii="Calibri" w:hAnsi="Calibri"/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404E4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color w:val="000000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404E4A"/>
    <w:rPr>
      <w:rFonts w:ascii="Times New Roman" w:eastAsia="Times New Roman" w:hAnsi="Times New Roman"/>
      <w:b/>
      <w:bCs/>
      <w:color w:val="000000"/>
      <w:lang w:val="en-US" w:eastAsia="hr-HR"/>
    </w:rPr>
  </w:style>
  <w:style w:type="paragraph" w:customStyle="1" w:styleId="Style1">
    <w:name w:val="Style1"/>
    <w:basedOn w:val="Normal"/>
    <w:rsid w:val="00404E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RO_Calligraph-Italic" w:eastAsia="Times New Roman" w:hAnsi="CRO_Calligraph-Italic"/>
      <w:sz w:val="24"/>
      <w:szCs w:val="24"/>
      <w:lang w:val="en-US" w:eastAsia="hr-HR"/>
    </w:rPr>
  </w:style>
  <w:style w:type="paragraph" w:styleId="BodyText">
    <w:name w:val="Body Text"/>
    <w:basedOn w:val="Normal"/>
    <w:link w:val="BodyTextChar"/>
    <w:rsid w:val="00404E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0"/>
      <w:szCs w:val="20"/>
      <w:lang w:val="de-DE" w:eastAsia="hr-HR"/>
    </w:rPr>
  </w:style>
  <w:style w:type="character" w:customStyle="1" w:styleId="BodyTextChar">
    <w:name w:val="Body Text Char"/>
    <w:basedOn w:val="DefaultParagraphFont"/>
    <w:link w:val="BodyText"/>
    <w:rsid w:val="00404E4A"/>
    <w:rPr>
      <w:rFonts w:ascii="Times New Roman" w:eastAsia="Times New Roman" w:hAnsi="Times New Roman"/>
      <w:color w:val="000000"/>
      <w:lang w:val="de-DE" w:eastAsia="hr-HR"/>
    </w:rPr>
  </w:style>
  <w:style w:type="paragraph" w:styleId="BodyTextIndent">
    <w:name w:val="Body Text Indent"/>
    <w:basedOn w:val="Normal"/>
    <w:link w:val="BodyTextIndentChar"/>
    <w:rsid w:val="00404E4A"/>
    <w:pPr>
      <w:overflowPunct w:val="0"/>
      <w:autoSpaceDE w:val="0"/>
      <w:autoSpaceDN w:val="0"/>
      <w:adjustRightInd w:val="0"/>
      <w:spacing w:after="0" w:line="240" w:lineRule="auto"/>
      <w:ind w:firstLine="284"/>
      <w:textAlignment w:val="baseline"/>
    </w:pPr>
    <w:rPr>
      <w:rFonts w:ascii="Times New Roman" w:eastAsia="Times New Roman" w:hAnsi="Times New Roman"/>
      <w:sz w:val="20"/>
      <w:szCs w:val="20"/>
      <w:lang w:val="en-US" w:eastAsia="hr-HR"/>
    </w:rPr>
  </w:style>
  <w:style w:type="character" w:customStyle="1" w:styleId="BodyTextIndentChar">
    <w:name w:val="Body Text Indent Char"/>
    <w:basedOn w:val="DefaultParagraphFont"/>
    <w:link w:val="BodyTextIndent"/>
    <w:rsid w:val="00404E4A"/>
    <w:rPr>
      <w:rFonts w:ascii="Times New Roman" w:eastAsia="Times New Roman" w:hAnsi="Times New Roman"/>
      <w:lang w:val="en-US" w:eastAsia="hr-HR"/>
    </w:rPr>
  </w:style>
  <w:style w:type="table" w:styleId="TableGrid">
    <w:name w:val="Table Grid"/>
    <w:basedOn w:val="TableNormal"/>
    <w:rsid w:val="00404E4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A4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43F5"/>
    <w:pPr>
      <w:ind w:left="720"/>
      <w:contextualSpacing/>
    </w:pPr>
  </w:style>
  <w:style w:type="character" w:customStyle="1" w:styleId="st1">
    <w:name w:val="st1"/>
    <w:basedOn w:val="DefaultParagraphFont"/>
    <w:rsid w:val="00BF6DE0"/>
  </w:style>
  <w:style w:type="paragraph" w:customStyle="1" w:styleId="Default">
    <w:name w:val="Default"/>
    <w:rsid w:val="00850C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DEDA-3BDB-4FB3-AC57-B3C9BB70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 Herman</dc:creator>
  <cp:lastModifiedBy>broic@imi.lan</cp:lastModifiedBy>
  <cp:revision>29</cp:revision>
  <cp:lastPrinted>2022-07-11T07:37:00Z</cp:lastPrinted>
  <dcterms:created xsi:type="dcterms:W3CDTF">2024-01-30T07:02:00Z</dcterms:created>
  <dcterms:modified xsi:type="dcterms:W3CDTF">2024-01-30T14:29:00Z</dcterms:modified>
</cp:coreProperties>
</file>