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864" w:type="dxa"/>
        <w:tblLook w:val="04A0" w:firstRow="1" w:lastRow="0" w:firstColumn="1" w:lastColumn="0" w:noHBand="0" w:noVBand="1"/>
      </w:tblPr>
      <w:tblGrid>
        <w:gridCol w:w="4954"/>
        <w:gridCol w:w="4955"/>
        <w:gridCol w:w="4955"/>
      </w:tblGrid>
      <w:tr w:rsidR="005B56B2" w:rsidRPr="00873B2E" w14:paraId="620AE4F2" w14:textId="77777777" w:rsidTr="6E35E291">
        <w:trPr>
          <w:cantSplit/>
          <w:trHeight w:val="699"/>
        </w:trPr>
        <w:tc>
          <w:tcPr>
            <w:tcW w:w="4954" w:type="dxa"/>
            <w:tcBorders>
              <w:bottom w:val="double" w:sz="4" w:space="0" w:color="auto"/>
            </w:tcBorders>
          </w:tcPr>
          <w:p w14:paraId="7299B738" w14:textId="77777777" w:rsidR="005B56B2" w:rsidRPr="00873B2E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B2E">
              <w:rPr>
                <w:rFonts w:ascii="Times New Roman" w:hAnsi="Times New Roman" w:cs="Times New Roman"/>
                <w:b/>
              </w:rPr>
              <w:t>TRAŽENE TEHNIČKE SPECIFIKACIJE</w:t>
            </w:r>
          </w:p>
        </w:tc>
        <w:tc>
          <w:tcPr>
            <w:tcW w:w="4955" w:type="dxa"/>
            <w:tcBorders>
              <w:bottom w:val="double" w:sz="4" w:space="0" w:color="auto"/>
            </w:tcBorders>
          </w:tcPr>
          <w:p w14:paraId="0E16DD4D" w14:textId="1F06B182" w:rsidR="005B56B2" w:rsidRPr="00873B2E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B2E">
              <w:rPr>
                <w:rFonts w:ascii="Times New Roman" w:hAnsi="Times New Roman" w:cs="Times New Roman"/>
                <w:b/>
              </w:rPr>
              <w:t>PONUĐENE TEHNIČKE SPECIFIKACIJE</w:t>
            </w:r>
          </w:p>
        </w:tc>
        <w:tc>
          <w:tcPr>
            <w:tcW w:w="4955" w:type="dxa"/>
            <w:tcBorders>
              <w:bottom w:val="double" w:sz="4" w:space="0" w:color="auto"/>
            </w:tcBorders>
          </w:tcPr>
          <w:p w14:paraId="1E34937D" w14:textId="226CAF8B" w:rsidR="005B56B2" w:rsidRPr="00873B2E" w:rsidRDefault="008A65A0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B2E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255B3D" w:rsidRPr="00873B2E" w14:paraId="273C6B24" w14:textId="77777777" w:rsidTr="6E35E291">
        <w:trPr>
          <w:trHeight w:val="497"/>
        </w:trPr>
        <w:tc>
          <w:tcPr>
            <w:tcW w:w="14864" w:type="dxa"/>
            <w:gridSpan w:val="3"/>
            <w:tcBorders>
              <w:top w:val="double" w:sz="4" w:space="0" w:color="auto"/>
            </w:tcBorders>
          </w:tcPr>
          <w:p w14:paraId="3BA629E7" w14:textId="4477B31E" w:rsidR="78741197" w:rsidRPr="00873B2E" w:rsidRDefault="78741197" w:rsidP="42713B8A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B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2.129 </w:t>
            </w:r>
            <w:proofErr w:type="spellStart"/>
            <w:r w:rsidRPr="00873B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Spektrofotometar</w:t>
            </w:r>
            <w:proofErr w:type="spellEnd"/>
            <w:r w:rsidRPr="00873B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-klasični i 2.187 </w:t>
            </w:r>
            <w:proofErr w:type="spellStart"/>
            <w:r w:rsidRPr="00873B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Spektrofotometar</w:t>
            </w:r>
            <w:proofErr w:type="spellEnd"/>
          </w:p>
          <w:p w14:paraId="48FD6EBF" w14:textId="7F971D6E" w:rsidR="42713B8A" w:rsidRPr="00873B2E" w:rsidRDefault="42713B8A" w:rsidP="42713B8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376563D" w14:textId="595E4007" w:rsidR="00255B3D" w:rsidRPr="00873B2E" w:rsidRDefault="00255B3D" w:rsidP="00BF032D">
            <w:pPr>
              <w:rPr>
                <w:rFonts w:ascii="Times New Roman" w:hAnsi="Times New Roman" w:cs="Times New Roman"/>
                <w:b/>
                <w:bCs/>
              </w:rPr>
            </w:pPr>
            <w:r w:rsidRPr="00873B2E">
              <w:rPr>
                <w:rFonts w:ascii="Times New Roman" w:hAnsi="Times New Roman" w:cs="Times New Roman"/>
                <w:b/>
                <w:bCs/>
              </w:rPr>
              <w:t>Proizvođač: ______________________________________________________</w:t>
            </w:r>
          </w:p>
          <w:p w14:paraId="009C51EC" w14:textId="77777777" w:rsidR="00255B3D" w:rsidRPr="00873B2E" w:rsidRDefault="00255B3D" w:rsidP="00BF032D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EDB1EE1" w14:textId="2972247E" w:rsidR="00255B3D" w:rsidRPr="00873B2E" w:rsidRDefault="00255B3D" w:rsidP="00255B3D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 w:rsidRPr="00873B2E">
              <w:rPr>
                <w:rFonts w:ascii="Times New Roman" w:hAnsi="Times New Roman" w:cs="Times New Roman"/>
                <w:b/>
                <w:bCs/>
              </w:rPr>
              <w:t>Model: _________________________________________________________</w:t>
            </w:r>
          </w:p>
        </w:tc>
      </w:tr>
      <w:tr w:rsidR="6E35E291" w:rsidRPr="00873B2E" w14:paraId="3126D423" w14:textId="77777777" w:rsidTr="6E35E291">
        <w:trPr>
          <w:trHeight w:val="497"/>
        </w:trPr>
        <w:tc>
          <w:tcPr>
            <w:tcW w:w="14864" w:type="dxa"/>
            <w:gridSpan w:val="3"/>
          </w:tcPr>
          <w:p w14:paraId="3A46679A" w14:textId="5EDAF436" w:rsidR="61B21807" w:rsidRPr="00873B2E" w:rsidRDefault="61B21807" w:rsidP="6E35E291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00873B2E">
              <w:rPr>
                <w:rFonts w:ascii="Times New Roman" w:hAnsi="Times New Roman" w:cs="Times New Roman"/>
              </w:rPr>
              <w:t>Općenite karakteristike:</w:t>
            </w:r>
          </w:p>
        </w:tc>
      </w:tr>
      <w:tr w:rsidR="00BF032D" w:rsidRPr="00873B2E" w14:paraId="31645B31" w14:textId="77777777" w:rsidTr="6E35E291">
        <w:trPr>
          <w:trHeight w:val="497"/>
        </w:trPr>
        <w:tc>
          <w:tcPr>
            <w:tcW w:w="4954" w:type="dxa"/>
          </w:tcPr>
          <w:p w14:paraId="56FDFD24" w14:textId="72FF743A" w:rsidR="00BF032D" w:rsidRPr="00873B2E" w:rsidRDefault="4225681D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1.1. </w:t>
            </w:r>
            <w:r w:rsidR="00BF032D" w:rsidRPr="00873B2E">
              <w:rPr>
                <w:rFonts w:ascii="Times New Roman" w:hAnsi="Times New Roman" w:cs="Times New Roman"/>
              </w:rPr>
              <w:t xml:space="preserve">Laboratorijski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benchtop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uređaj UV-Vis spektrometar</w:t>
            </w:r>
          </w:p>
        </w:tc>
        <w:tc>
          <w:tcPr>
            <w:tcW w:w="4955" w:type="dxa"/>
          </w:tcPr>
          <w:p w14:paraId="68E53720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3C80B9CA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3533FD4B" w14:textId="77777777" w:rsidTr="6E35E291">
        <w:trPr>
          <w:trHeight w:val="497"/>
        </w:trPr>
        <w:tc>
          <w:tcPr>
            <w:tcW w:w="4954" w:type="dxa"/>
          </w:tcPr>
          <w:p w14:paraId="720B3459" w14:textId="7AEEE900" w:rsidR="00BF032D" w:rsidRPr="00873B2E" w:rsidRDefault="37E12F71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1.2. </w:t>
            </w:r>
            <w:r w:rsidR="00BF032D" w:rsidRPr="00873B2E">
              <w:rPr>
                <w:rFonts w:ascii="Times New Roman" w:hAnsi="Times New Roman" w:cs="Times New Roman"/>
              </w:rPr>
              <w:t>Raspon valnih duljina od 190 do 1100 nm.</w:t>
            </w:r>
          </w:p>
        </w:tc>
        <w:tc>
          <w:tcPr>
            <w:tcW w:w="4955" w:type="dxa"/>
          </w:tcPr>
          <w:p w14:paraId="32E43A76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78A38BB8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452975C3" w14:textId="77777777" w:rsidTr="6E35E291">
        <w:trPr>
          <w:trHeight w:val="497"/>
        </w:trPr>
        <w:tc>
          <w:tcPr>
            <w:tcW w:w="4954" w:type="dxa"/>
          </w:tcPr>
          <w:p w14:paraId="2688EC02" w14:textId="01B88F49" w:rsidR="00BF032D" w:rsidRPr="00873B2E" w:rsidRDefault="3AF90582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1.3. </w:t>
            </w:r>
            <w:r w:rsidR="00BF032D" w:rsidRPr="00873B2E">
              <w:rPr>
                <w:rFonts w:ascii="Times New Roman" w:hAnsi="Times New Roman" w:cs="Times New Roman"/>
              </w:rPr>
              <w:t xml:space="preserve">Instrument mora sadržavati dva silicijsko –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diodna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detektora za simultano mjerenje ispitivanog i referentnog uzorka.</w:t>
            </w:r>
          </w:p>
        </w:tc>
        <w:tc>
          <w:tcPr>
            <w:tcW w:w="4955" w:type="dxa"/>
          </w:tcPr>
          <w:p w14:paraId="6DD2C052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49290173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4D6BC956" w14:textId="77777777" w:rsidTr="6E35E291">
        <w:trPr>
          <w:trHeight w:val="497"/>
        </w:trPr>
        <w:tc>
          <w:tcPr>
            <w:tcW w:w="4954" w:type="dxa"/>
          </w:tcPr>
          <w:p w14:paraId="6297A3A3" w14:textId="2767815E" w:rsidR="00BF032D" w:rsidRPr="00873B2E" w:rsidRDefault="506BC21B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1.4. </w:t>
            </w:r>
            <w:r w:rsidR="00BF032D" w:rsidRPr="00873B2E">
              <w:rPr>
                <w:rFonts w:ascii="Times New Roman" w:hAnsi="Times New Roman" w:cs="Times New Roman"/>
              </w:rPr>
              <w:t xml:space="preserve">Izvor zračenja koje instrument mora imati je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ksenon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lampa.</w:t>
            </w:r>
          </w:p>
        </w:tc>
        <w:tc>
          <w:tcPr>
            <w:tcW w:w="4955" w:type="dxa"/>
          </w:tcPr>
          <w:p w14:paraId="6E6D9055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7C471133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708ADC3D" w14:textId="77777777" w:rsidTr="6E35E291">
        <w:trPr>
          <w:trHeight w:val="473"/>
        </w:trPr>
        <w:tc>
          <w:tcPr>
            <w:tcW w:w="4954" w:type="dxa"/>
          </w:tcPr>
          <w:p w14:paraId="3B17D32A" w14:textId="354EBA96" w:rsidR="00BF032D" w:rsidRPr="00873B2E" w:rsidRDefault="477842CD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1.5. </w:t>
            </w:r>
            <w:r w:rsidR="00BF032D" w:rsidRPr="00873B2E">
              <w:rPr>
                <w:rFonts w:ascii="Times New Roman" w:hAnsi="Times New Roman" w:cs="Times New Roman"/>
              </w:rPr>
              <w:t>Optički sustav „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double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beam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“ (dvostruka zraka), a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monokromator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je konstruiran od dva konkavna zrcala i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planarne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difrakcijske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rešetke (metoda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Czerny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>–Turner).</w:t>
            </w:r>
          </w:p>
        </w:tc>
        <w:tc>
          <w:tcPr>
            <w:tcW w:w="4955" w:type="dxa"/>
          </w:tcPr>
          <w:p w14:paraId="1C0CD3D1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3326BF6F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3784007D" w14:textId="77777777" w:rsidTr="6E35E291">
        <w:trPr>
          <w:trHeight w:val="497"/>
        </w:trPr>
        <w:tc>
          <w:tcPr>
            <w:tcW w:w="4954" w:type="dxa"/>
          </w:tcPr>
          <w:p w14:paraId="1A3004FA" w14:textId="70DB3726" w:rsidR="00BF032D" w:rsidRPr="00873B2E" w:rsidRDefault="3A223F90" w:rsidP="001C0431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1.6. </w:t>
            </w:r>
            <w:r w:rsidR="00BF032D" w:rsidRPr="00873B2E">
              <w:rPr>
                <w:rFonts w:ascii="Times New Roman" w:hAnsi="Times New Roman" w:cs="Times New Roman"/>
              </w:rPr>
              <w:t>Instrument mora imati šir</w:t>
            </w:r>
            <w:r w:rsidR="001C0431" w:rsidRPr="00873B2E">
              <w:rPr>
                <w:rFonts w:ascii="Times New Roman" w:hAnsi="Times New Roman" w:cs="Times New Roman"/>
              </w:rPr>
              <w:t xml:space="preserve">inu spektralne linije ≤ 1,5 nm </w:t>
            </w:r>
          </w:p>
        </w:tc>
        <w:tc>
          <w:tcPr>
            <w:tcW w:w="4955" w:type="dxa"/>
          </w:tcPr>
          <w:p w14:paraId="3F3BA531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6E3D0F61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55809C14" w14:textId="77777777" w:rsidTr="6E35E291">
        <w:trPr>
          <w:trHeight w:val="497"/>
        </w:trPr>
        <w:tc>
          <w:tcPr>
            <w:tcW w:w="4954" w:type="dxa"/>
          </w:tcPr>
          <w:p w14:paraId="5E1385D0" w14:textId="587D38EB" w:rsidR="00BF032D" w:rsidRPr="00873B2E" w:rsidRDefault="5BBDEE3D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1.7. </w:t>
            </w:r>
            <w:r w:rsidR="00BF032D" w:rsidRPr="00873B2E">
              <w:rPr>
                <w:rFonts w:ascii="Times New Roman" w:hAnsi="Times New Roman" w:cs="Times New Roman"/>
              </w:rPr>
              <w:t>Instrument mora sadržavati optičke elemente sa zaštitnim slojem kvarca.</w:t>
            </w:r>
          </w:p>
        </w:tc>
        <w:tc>
          <w:tcPr>
            <w:tcW w:w="4955" w:type="dxa"/>
          </w:tcPr>
          <w:p w14:paraId="2E016490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67BC6A7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15FD0580" w14:textId="77777777" w:rsidTr="6E35E291">
        <w:trPr>
          <w:trHeight w:val="298"/>
        </w:trPr>
        <w:tc>
          <w:tcPr>
            <w:tcW w:w="4954" w:type="dxa"/>
          </w:tcPr>
          <w:p w14:paraId="41F099EF" w14:textId="76C82DA7" w:rsidR="00BF032D" w:rsidRPr="00873B2E" w:rsidRDefault="45C925BA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1.8. </w:t>
            </w:r>
            <w:r w:rsidR="00BF032D" w:rsidRPr="00873B2E">
              <w:rPr>
                <w:rFonts w:ascii="Times New Roman" w:hAnsi="Times New Roman" w:cs="Times New Roman"/>
              </w:rPr>
              <w:t xml:space="preserve">Raspon mjerenja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apsorbancije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mora biti najmanje do 4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apsorbancijske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jedinice.</w:t>
            </w:r>
          </w:p>
        </w:tc>
        <w:tc>
          <w:tcPr>
            <w:tcW w:w="4955" w:type="dxa"/>
          </w:tcPr>
          <w:p w14:paraId="464E4A87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448DFBAD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42713B8A" w:rsidRPr="00873B2E" w14:paraId="747DE956" w14:textId="77777777" w:rsidTr="6E35E291">
        <w:trPr>
          <w:trHeight w:val="497"/>
        </w:trPr>
        <w:tc>
          <w:tcPr>
            <w:tcW w:w="4954" w:type="dxa"/>
          </w:tcPr>
          <w:p w14:paraId="59EAD5C3" w14:textId="349CD67A" w:rsidR="20A995C3" w:rsidRPr="00873B2E" w:rsidRDefault="20A995C3" w:rsidP="42713B8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873B2E">
              <w:rPr>
                <w:rFonts w:ascii="Times New Roman" w:eastAsia="Times New Roman" w:hAnsi="Times New Roman" w:cs="Times New Roman"/>
              </w:rPr>
              <w:t xml:space="preserve">1.9. </w:t>
            </w:r>
            <w:r w:rsidR="3B404477" w:rsidRPr="00873B2E">
              <w:rPr>
                <w:rFonts w:ascii="Times New Roman" w:eastAsia="Times New Roman" w:hAnsi="Times New Roman" w:cs="Times New Roman"/>
              </w:rPr>
              <w:t>Brzina skeniranja minimalno 23 000 nm/min</w:t>
            </w:r>
          </w:p>
        </w:tc>
        <w:tc>
          <w:tcPr>
            <w:tcW w:w="4955" w:type="dxa"/>
          </w:tcPr>
          <w:p w14:paraId="54305022" w14:textId="50046638" w:rsidR="42713B8A" w:rsidRPr="00873B2E" w:rsidRDefault="42713B8A" w:rsidP="42713B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59895B9F" w14:textId="7B5D9FC8" w:rsidR="42713B8A" w:rsidRPr="00873B2E" w:rsidRDefault="42713B8A" w:rsidP="42713B8A">
            <w:pPr>
              <w:rPr>
                <w:rFonts w:ascii="Times New Roman" w:hAnsi="Times New Roman" w:cs="Times New Roman"/>
              </w:rPr>
            </w:pPr>
          </w:p>
        </w:tc>
      </w:tr>
      <w:tr w:rsidR="6E35E291" w:rsidRPr="00873B2E" w14:paraId="305E411B" w14:textId="77777777" w:rsidTr="6E35E291">
        <w:trPr>
          <w:trHeight w:val="497"/>
        </w:trPr>
        <w:tc>
          <w:tcPr>
            <w:tcW w:w="14864" w:type="dxa"/>
            <w:gridSpan w:val="3"/>
          </w:tcPr>
          <w:p w14:paraId="6FE0DA93" w14:textId="6747C856" w:rsidR="3885B4DA" w:rsidRPr="00873B2E" w:rsidRDefault="3885B4DA" w:rsidP="6E35E291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00873B2E">
              <w:rPr>
                <w:rFonts w:ascii="Times New Roman" w:hAnsi="Times New Roman" w:cs="Times New Roman"/>
              </w:rPr>
              <w:t>Ostali zahtjevi:</w:t>
            </w:r>
          </w:p>
        </w:tc>
      </w:tr>
      <w:tr w:rsidR="00BF032D" w:rsidRPr="00873B2E" w14:paraId="5F443651" w14:textId="77777777" w:rsidTr="6E35E291">
        <w:trPr>
          <w:trHeight w:val="497"/>
        </w:trPr>
        <w:tc>
          <w:tcPr>
            <w:tcW w:w="4954" w:type="dxa"/>
          </w:tcPr>
          <w:p w14:paraId="26C8B753" w14:textId="362D4EB9" w:rsidR="00BF032D" w:rsidRPr="00873B2E" w:rsidRDefault="5F23AD83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2.1. </w:t>
            </w:r>
            <w:r w:rsidR="00BF032D" w:rsidRPr="00873B2E">
              <w:rPr>
                <w:rFonts w:ascii="Times New Roman" w:hAnsi="Times New Roman" w:cs="Times New Roman"/>
              </w:rPr>
              <w:t xml:space="preserve">Nakon isporuke instrumenta, potrebno je instalirati instrument u prostorijama Naručitelja te </w:t>
            </w:r>
            <w:r w:rsidR="00BF032D" w:rsidRPr="00873B2E">
              <w:rPr>
                <w:rFonts w:ascii="Times New Roman" w:hAnsi="Times New Roman" w:cs="Times New Roman"/>
              </w:rPr>
              <w:lastRenderedPageBreak/>
              <w:t>održati edukaciju korisnika u trajanju od jednog (1) radnog dana.</w:t>
            </w:r>
          </w:p>
        </w:tc>
        <w:tc>
          <w:tcPr>
            <w:tcW w:w="4955" w:type="dxa"/>
          </w:tcPr>
          <w:p w14:paraId="7D2DAAFD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5C05A2D2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06D006D4" w14:textId="77777777" w:rsidTr="6E35E291">
        <w:trPr>
          <w:trHeight w:val="497"/>
        </w:trPr>
        <w:tc>
          <w:tcPr>
            <w:tcW w:w="4954" w:type="dxa"/>
          </w:tcPr>
          <w:p w14:paraId="56E4AE12" w14:textId="08315C62" w:rsidR="001C0431" w:rsidRPr="00873B2E" w:rsidRDefault="70CA5149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2.2. </w:t>
            </w:r>
            <w:r w:rsidR="00BF032D" w:rsidRPr="00873B2E">
              <w:rPr>
                <w:rFonts w:ascii="Times New Roman" w:hAnsi="Times New Roman" w:cs="Times New Roman"/>
              </w:rPr>
              <w:t>Uz instrument treba isporučiti računalo odgovarajućih karakteristika i monitor</w:t>
            </w:r>
            <w:r w:rsidR="001C0431" w:rsidRPr="00873B2E">
              <w:rPr>
                <w:rFonts w:ascii="Times New Roman" w:hAnsi="Times New Roman" w:cs="Times New Roman"/>
              </w:rPr>
              <w:t xml:space="preserve"> (ukupno dva računala i dva monitora za stavke 2.129 i 2.187)</w:t>
            </w:r>
          </w:p>
        </w:tc>
        <w:tc>
          <w:tcPr>
            <w:tcW w:w="4955" w:type="dxa"/>
          </w:tcPr>
          <w:p w14:paraId="1DF6D0EB" w14:textId="77777777" w:rsidR="00BF032D" w:rsidRPr="00873B2E" w:rsidRDefault="00BF032D" w:rsidP="00BF032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5" w:type="dxa"/>
          </w:tcPr>
          <w:p w14:paraId="20B97BD3" w14:textId="77777777" w:rsidR="00BF032D" w:rsidRPr="00873B2E" w:rsidRDefault="00BF032D" w:rsidP="00BF03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F032D" w:rsidRPr="00873B2E" w14:paraId="24FC51A1" w14:textId="77777777" w:rsidTr="6E35E291">
        <w:trPr>
          <w:trHeight w:val="497"/>
        </w:trPr>
        <w:tc>
          <w:tcPr>
            <w:tcW w:w="4954" w:type="dxa"/>
          </w:tcPr>
          <w:p w14:paraId="75A296D4" w14:textId="3316D688" w:rsidR="001C0431" w:rsidRPr="00873B2E" w:rsidRDefault="1D037E8E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2.3. </w:t>
            </w:r>
            <w:r w:rsidR="00BF032D" w:rsidRPr="00873B2E">
              <w:rPr>
                <w:rFonts w:ascii="Times New Roman" w:hAnsi="Times New Roman" w:cs="Times New Roman"/>
              </w:rPr>
              <w:t xml:space="preserve">Uz instrument treba isporučiti držač za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kivete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koji ima minimalno osamnaest mjesta za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kivete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te mogućnost priključka na vodenu kupelj koja ima sposobnost kontrolirati temperaturu svih prisutnih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kiveta</w:t>
            </w:r>
            <w:proofErr w:type="spellEnd"/>
            <w:r w:rsidR="001C0431" w:rsidRPr="00873B2E">
              <w:rPr>
                <w:rFonts w:ascii="Times New Roman" w:hAnsi="Times New Roman" w:cs="Times New Roman"/>
              </w:rPr>
              <w:t xml:space="preserve"> (ukupno dva držača za stavke 2.129 i 2.187)</w:t>
            </w:r>
          </w:p>
        </w:tc>
        <w:tc>
          <w:tcPr>
            <w:tcW w:w="4955" w:type="dxa"/>
          </w:tcPr>
          <w:p w14:paraId="79813C79" w14:textId="77777777" w:rsidR="00BF032D" w:rsidRPr="00873B2E" w:rsidRDefault="00BF032D" w:rsidP="00BF03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5" w:type="dxa"/>
          </w:tcPr>
          <w:p w14:paraId="6DF9D8BA" w14:textId="77777777" w:rsidR="00BF032D" w:rsidRPr="00873B2E" w:rsidRDefault="00BF032D" w:rsidP="00BF03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F032D" w:rsidRPr="00BF032D" w14:paraId="292FF54B" w14:textId="77777777" w:rsidTr="6E35E291">
        <w:trPr>
          <w:trHeight w:val="497"/>
        </w:trPr>
        <w:tc>
          <w:tcPr>
            <w:tcW w:w="4954" w:type="dxa"/>
          </w:tcPr>
          <w:p w14:paraId="7ED46347" w14:textId="1823754F" w:rsidR="00BF032D" w:rsidRPr="00BF032D" w:rsidRDefault="4B6E3F5E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2.3.1. </w:t>
            </w:r>
            <w:r w:rsidR="00BF032D" w:rsidRPr="00873B2E">
              <w:rPr>
                <w:rFonts w:ascii="Times New Roman" w:hAnsi="Times New Roman" w:cs="Times New Roman"/>
              </w:rPr>
              <w:t>Maksimalna temperatura vodene kupelji: +60 °C ili bolje</w:t>
            </w:r>
            <w:bookmarkStart w:id="0" w:name="_GoBack"/>
            <w:bookmarkEnd w:id="0"/>
          </w:p>
        </w:tc>
        <w:tc>
          <w:tcPr>
            <w:tcW w:w="4955" w:type="dxa"/>
          </w:tcPr>
          <w:p w14:paraId="34F19A2C" w14:textId="77777777" w:rsidR="00BF032D" w:rsidRPr="00BF032D" w:rsidRDefault="00BF032D" w:rsidP="00BF03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5" w:type="dxa"/>
          </w:tcPr>
          <w:p w14:paraId="33B45BBB" w14:textId="77777777" w:rsidR="00BF032D" w:rsidRPr="00BF032D" w:rsidRDefault="00BF032D" w:rsidP="00BF03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2FE2085A" w14:textId="77777777" w:rsidR="00C43218" w:rsidRPr="00BF032D" w:rsidRDefault="00C43218">
      <w:pPr>
        <w:rPr>
          <w:rFonts w:ascii="Times New Roman" w:hAnsi="Times New Roman" w:cs="Times New Roman"/>
        </w:rPr>
      </w:pPr>
    </w:p>
    <w:sectPr w:rsidR="00C43218" w:rsidRPr="00BF032D" w:rsidSect="0015741A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F51A1"/>
    <w:multiLevelType w:val="hybridMultilevel"/>
    <w:tmpl w:val="89366D6C"/>
    <w:lvl w:ilvl="0" w:tplc="283AA7EC">
      <w:start w:val="1"/>
      <w:numFmt w:val="decimal"/>
      <w:lvlText w:val="%1."/>
      <w:lvlJc w:val="left"/>
      <w:pPr>
        <w:ind w:left="720" w:hanging="360"/>
      </w:pPr>
    </w:lvl>
    <w:lvl w:ilvl="1" w:tplc="B5B09EB4">
      <w:start w:val="1"/>
      <w:numFmt w:val="lowerLetter"/>
      <w:lvlText w:val="%2."/>
      <w:lvlJc w:val="left"/>
      <w:pPr>
        <w:ind w:left="1440" w:hanging="360"/>
      </w:pPr>
    </w:lvl>
    <w:lvl w:ilvl="2" w:tplc="F050CDC6">
      <w:start w:val="1"/>
      <w:numFmt w:val="lowerRoman"/>
      <w:lvlText w:val="%3."/>
      <w:lvlJc w:val="right"/>
      <w:pPr>
        <w:ind w:left="2160" w:hanging="180"/>
      </w:pPr>
    </w:lvl>
    <w:lvl w:ilvl="3" w:tplc="A934B65E">
      <w:start w:val="1"/>
      <w:numFmt w:val="decimal"/>
      <w:lvlText w:val="%4."/>
      <w:lvlJc w:val="left"/>
      <w:pPr>
        <w:ind w:left="2880" w:hanging="360"/>
      </w:pPr>
    </w:lvl>
    <w:lvl w:ilvl="4" w:tplc="DCFA14FC">
      <w:start w:val="1"/>
      <w:numFmt w:val="lowerLetter"/>
      <w:lvlText w:val="%5."/>
      <w:lvlJc w:val="left"/>
      <w:pPr>
        <w:ind w:left="3600" w:hanging="360"/>
      </w:pPr>
    </w:lvl>
    <w:lvl w:ilvl="5" w:tplc="5706E62E">
      <w:start w:val="1"/>
      <w:numFmt w:val="lowerRoman"/>
      <w:lvlText w:val="%6."/>
      <w:lvlJc w:val="right"/>
      <w:pPr>
        <w:ind w:left="4320" w:hanging="180"/>
      </w:pPr>
    </w:lvl>
    <w:lvl w:ilvl="6" w:tplc="F770455A">
      <w:start w:val="1"/>
      <w:numFmt w:val="decimal"/>
      <w:lvlText w:val="%7."/>
      <w:lvlJc w:val="left"/>
      <w:pPr>
        <w:ind w:left="5040" w:hanging="360"/>
      </w:pPr>
    </w:lvl>
    <w:lvl w:ilvl="7" w:tplc="DB528DBE">
      <w:start w:val="1"/>
      <w:numFmt w:val="lowerLetter"/>
      <w:lvlText w:val="%8."/>
      <w:lvlJc w:val="left"/>
      <w:pPr>
        <w:ind w:left="5760" w:hanging="360"/>
      </w:pPr>
    </w:lvl>
    <w:lvl w:ilvl="8" w:tplc="37B4611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B2"/>
    <w:rsid w:val="0015741A"/>
    <w:rsid w:val="001C0431"/>
    <w:rsid w:val="00255B3D"/>
    <w:rsid w:val="002A76F7"/>
    <w:rsid w:val="00462589"/>
    <w:rsid w:val="005B56B2"/>
    <w:rsid w:val="007C0A64"/>
    <w:rsid w:val="00873B2E"/>
    <w:rsid w:val="008A65A0"/>
    <w:rsid w:val="00BF032D"/>
    <w:rsid w:val="00C43218"/>
    <w:rsid w:val="00DD0ED8"/>
    <w:rsid w:val="00E01800"/>
    <w:rsid w:val="1A7640D7"/>
    <w:rsid w:val="1C69AC9A"/>
    <w:rsid w:val="1D037E8E"/>
    <w:rsid w:val="20A995C3"/>
    <w:rsid w:val="2B1F8B0D"/>
    <w:rsid w:val="2C5A7F0F"/>
    <w:rsid w:val="362EA702"/>
    <w:rsid w:val="37E12F71"/>
    <w:rsid w:val="3885B4DA"/>
    <w:rsid w:val="3A223F90"/>
    <w:rsid w:val="3AF90582"/>
    <w:rsid w:val="3B404477"/>
    <w:rsid w:val="4225681D"/>
    <w:rsid w:val="42713B8A"/>
    <w:rsid w:val="45C925BA"/>
    <w:rsid w:val="477842CD"/>
    <w:rsid w:val="4B6E3F5E"/>
    <w:rsid w:val="506BC21B"/>
    <w:rsid w:val="5BBDEE3D"/>
    <w:rsid w:val="5F23AD83"/>
    <w:rsid w:val="603C25CF"/>
    <w:rsid w:val="61B21807"/>
    <w:rsid w:val="6E35E291"/>
    <w:rsid w:val="70CA5149"/>
    <w:rsid w:val="7874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8D71C"/>
  <w15:chartTrackingRefBased/>
  <w15:docId w15:val="{DE8613AC-55D2-4AF4-B1AB-9F764630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5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25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5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B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Makso Herman</cp:lastModifiedBy>
  <cp:revision>3</cp:revision>
  <dcterms:created xsi:type="dcterms:W3CDTF">2020-05-04T13:32:00Z</dcterms:created>
  <dcterms:modified xsi:type="dcterms:W3CDTF">2020-09-08T07:42:00Z</dcterms:modified>
</cp:coreProperties>
</file>