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9F" w:rsidRPr="00FF6C22" w:rsidRDefault="00AE62AB" w:rsidP="00677C9F">
      <w:pPr>
        <w:tabs>
          <w:tab w:val="left" w:pos="1907"/>
        </w:tabs>
        <w:rPr>
          <w:rFonts w:ascii="Titillium" w:hAnsi="Titillium" w:cs="Arial"/>
          <w:b/>
        </w:rPr>
      </w:pPr>
      <w:r>
        <w:rPr>
          <w:rFonts w:ascii="Titillium" w:hAnsi="Titillium" w:cs="Arial"/>
          <w:b/>
        </w:rPr>
        <w:t>Dodatak 1</w:t>
      </w:r>
      <w:r w:rsidR="00677C9F" w:rsidRPr="00FF6C22">
        <w:rPr>
          <w:rFonts w:ascii="Titillium" w:hAnsi="Titillium" w:cs="Arial"/>
          <w:b/>
        </w:rPr>
        <w:tab/>
      </w:r>
    </w:p>
    <w:p w:rsidR="00677C9F" w:rsidRPr="00FF6C22" w:rsidRDefault="00677C9F" w:rsidP="00677C9F">
      <w:pPr>
        <w:rPr>
          <w:rFonts w:ascii="Titillium" w:hAnsi="Titillium" w:cs="Arial"/>
          <w:b/>
        </w:rPr>
      </w:pPr>
    </w:p>
    <w:p w:rsidR="00677C9F" w:rsidRPr="00FF6C22" w:rsidRDefault="00677C9F" w:rsidP="00677C9F">
      <w:pPr>
        <w:rPr>
          <w:rFonts w:ascii="Titillium" w:hAnsi="Titillium" w:cs="Arial"/>
          <w:b/>
        </w:rPr>
      </w:pPr>
    </w:p>
    <w:p w:rsidR="00677C9F" w:rsidRPr="00FF6C22" w:rsidRDefault="00677C9F" w:rsidP="00677C9F">
      <w:pPr>
        <w:jc w:val="center"/>
        <w:rPr>
          <w:rFonts w:ascii="Titillium" w:hAnsi="Titillium" w:cs="Arial"/>
          <w:b/>
        </w:rPr>
      </w:pPr>
      <w:r w:rsidRPr="00FF6C22">
        <w:rPr>
          <w:rFonts w:ascii="Titillium" w:hAnsi="Titillium" w:cs="Arial"/>
          <w:b/>
        </w:rPr>
        <w:t>OPIS POSLOVA</w:t>
      </w:r>
    </w:p>
    <w:p w:rsidR="00677C9F" w:rsidRDefault="002B6338" w:rsidP="00677C9F">
      <w:pPr>
        <w:pStyle w:val="Heading2"/>
        <w:jc w:val="both"/>
        <w:rPr>
          <w:rFonts w:ascii="Titillium" w:hAnsi="Titillium" w:cs="Arial"/>
          <w:color w:val="231F20"/>
        </w:rPr>
      </w:pPr>
      <w:r>
        <w:rPr>
          <w:rFonts w:ascii="Titillium" w:hAnsi="Titillium" w:cs="Arial"/>
          <w:color w:val="231F20"/>
        </w:rPr>
        <w:t xml:space="preserve">Predmet nabave: </w:t>
      </w:r>
      <w:r w:rsidRPr="002B6338">
        <w:rPr>
          <w:rFonts w:ascii="Titillium" w:hAnsi="Titillium" w:cs="Arial"/>
          <w:b w:val="0"/>
          <w:color w:val="231F20"/>
        </w:rPr>
        <w:t>Usluga savjetovanja pri provođenju postupaka javne nabave</w:t>
      </w:r>
    </w:p>
    <w:p w:rsidR="002B6338" w:rsidRPr="002B6338" w:rsidRDefault="002B6338" w:rsidP="002B6338">
      <w:pPr>
        <w:rPr>
          <w:rFonts w:ascii="Titillium" w:hAnsi="Titillium"/>
          <w:b/>
        </w:rPr>
      </w:pPr>
      <w:proofErr w:type="spellStart"/>
      <w:r w:rsidRPr="002B6338">
        <w:rPr>
          <w:rFonts w:ascii="Titillium" w:hAnsi="Titillium"/>
          <w:b/>
        </w:rPr>
        <w:t>Ev.broj</w:t>
      </w:r>
      <w:proofErr w:type="spellEnd"/>
      <w:r w:rsidRPr="002B6338">
        <w:rPr>
          <w:rFonts w:ascii="Titillium" w:hAnsi="Titillium"/>
          <w:b/>
        </w:rPr>
        <w:t>: JN-OP-VV-02/18</w:t>
      </w:r>
    </w:p>
    <w:p w:rsidR="002B6338" w:rsidRDefault="002B6338" w:rsidP="00677C9F">
      <w:pPr>
        <w:pStyle w:val="Heading2"/>
        <w:jc w:val="both"/>
        <w:rPr>
          <w:rFonts w:ascii="Titillium" w:hAnsi="Titillium" w:cs="Arial"/>
        </w:rPr>
      </w:pPr>
    </w:p>
    <w:p w:rsidR="00677C9F" w:rsidRPr="002B6338" w:rsidRDefault="00677C9F" w:rsidP="00677C9F">
      <w:pPr>
        <w:pStyle w:val="Heading2"/>
        <w:jc w:val="both"/>
        <w:rPr>
          <w:rFonts w:ascii="Titillium" w:hAnsi="Titillium" w:cs="Arial"/>
          <w:u w:val="single"/>
        </w:rPr>
      </w:pPr>
      <w:r w:rsidRPr="002B6338">
        <w:rPr>
          <w:rFonts w:ascii="Titillium" w:hAnsi="Titillium" w:cs="Arial"/>
          <w:u w:val="single"/>
        </w:rPr>
        <w:t>O Institutu za medicinska istra</w:t>
      </w:r>
      <w:r w:rsidR="00BC0690" w:rsidRPr="002B6338">
        <w:rPr>
          <w:rFonts w:ascii="Titillium" w:hAnsi="Titillium" w:cs="Arial"/>
          <w:u w:val="single"/>
        </w:rPr>
        <w:t>živanja i medicinu rada (dalje u tekstu IMI)</w:t>
      </w:r>
      <w:r w:rsidR="00DA1814" w:rsidRPr="002B6338">
        <w:rPr>
          <w:rFonts w:ascii="Titillium" w:hAnsi="Titillium" w:cs="Arial"/>
          <w:u w:val="single"/>
        </w:rPr>
        <w:t xml:space="preserve"> </w:t>
      </w:r>
    </w:p>
    <w:p w:rsidR="00FF6C22" w:rsidRPr="00FF6C22" w:rsidRDefault="00FF6C22" w:rsidP="00FF6C22">
      <w:pPr>
        <w:rPr>
          <w:rFonts w:ascii="Titillium" w:hAnsi="Titillium"/>
        </w:rPr>
      </w:pPr>
    </w:p>
    <w:p w:rsidR="00677C9F" w:rsidRPr="00FF6C22" w:rsidRDefault="00FF6C22" w:rsidP="00677C9F">
      <w:pPr>
        <w:rPr>
          <w:rFonts w:ascii="Titillium" w:hAnsi="Titillium"/>
        </w:rPr>
      </w:pPr>
      <w:r>
        <w:rPr>
          <w:rFonts w:ascii="Titillium" w:hAnsi="Titillium"/>
        </w:rPr>
        <w:t>IMI je samostalna javna znanstvenoistraživačka ustanova koja djeluje pod nadležnosti Ministarstva znanosti i obrazovanja Republike Hrvatske</w:t>
      </w:r>
      <w:r w:rsidR="00C25CA0">
        <w:rPr>
          <w:rFonts w:ascii="Titillium" w:hAnsi="Titillium"/>
        </w:rPr>
        <w:t xml:space="preserve"> (MZO)</w:t>
      </w:r>
      <w:r>
        <w:rPr>
          <w:rFonts w:ascii="Titillium" w:hAnsi="Titillium"/>
        </w:rPr>
        <w:t>. IMI je osnovan</w:t>
      </w:r>
      <w:r w:rsidRPr="00FF6C22">
        <w:rPr>
          <w:rFonts w:ascii="Titillium" w:hAnsi="Titillium"/>
        </w:rPr>
        <w:t xml:space="preserve"> 27. prosinca 1947. na inicijativu </w:t>
      </w:r>
      <w:r>
        <w:rPr>
          <w:rFonts w:ascii="Titillium" w:hAnsi="Titillium"/>
        </w:rPr>
        <w:t>tadašnjeg</w:t>
      </w:r>
      <w:r w:rsidRPr="00FF6C22">
        <w:rPr>
          <w:rFonts w:ascii="Titillium" w:hAnsi="Titillium"/>
        </w:rPr>
        <w:t xml:space="preserve"> predsjednika </w:t>
      </w:r>
      <w:r>
        <w:rPr>
          <w:rFonts w:ascii="Titillium" w:hAnsi="Titillium"/>
        </w:rPr>
        <w:t>Jugoslavenske akademije</w:t>
      </w:r>
      <w:r w:rsidRPr="00FF6C22">
        <w:rPr>
          <w:rFonts w:ascii="Titillium" w:hAnsi="Titillium"/>
        </w:rPr>
        <w:t xml:space="preserve"> znanosti i umjetnosti (JAZU) dr. sc. Andrije Štampara. Institut za medicinska istraživanja i medicinu rada izrazito je multidisciplinarna znanstvena ustanova u kojoj se istražuju mehanizmi djelovanja različitih štetnih kemijskih i fizikalnih čimbenika kao i način života ljudi na zdravlje i okoliš. Institut ima vodeću ulogu u Hrvatskoj u istraživanjima na području opće, genetičke i molekularne toksikologije te </w:t>
      </w:r>
      <w:proofErr w:type="spellStart"/>
      <w:r w:rsidRPr="00FF6C22">
        <w:rPr>
          <w:rFonts w:ascii="Titillium" w:hAnsi="Titillium"/>
        </w:rPr>
        <w:t>alergotoksikologije</w:t>
      </w:r>
      <w:proofErr w:type="spellEnd"/>
      <w:r w:rsidRPr="00FF6C22">
        <w:rPr>
          <w:rFonts w:ascii="Titillium" w:hAnsi="Titillium"/>
        </w:rPr>
        <w:t xml:space="preserve">, zaštite od kemijskog oružja i radiološke zaštite, </w:t>
      </w:r>
      <w:proofErr w:type="spellStart"/>
      <w:r w:rsidRPr="00FF6C22">
        <w:rPr>
          <w:rFonts w:ascii="Titillium" w:hAnsi="Titillium"/>
        </w:rPr>
        <w:t>radiokontaminacije</w:t>
      </w:r>
      <w:proofErr w:type="spellEnd"/>
      <w:r w:rsidRPr="00FF6C22">
        <w:rPr>
          <w:rFonts w:ascii="Titillium" w:hAnsi="Titillium"/>
        </w:rPr>
        <w:t xml:space="preserve"> okoliša, kakvoće zraka, identifikacije zloupotrebe droga, raspodjele metala i specifičnih anorganskih i organskih onečišćenja u okolišu i izloženosti ljudi tim onečišćenjima. Također se istražuju različiti aspekti </w:t>
      </w:r>
      <w:proofErr w:type="spellStart"/>
      <w:r w:rsidRPr="00FF6C22">
        <w:rPr>
          <w:rFonts w:ascii="Titillium" w:hAnsi="Titillium"/>
        </w:rPr>
        <w:t>psihogenih</w:t>
      </w:r>
      <w:proofErr w:type="spellEnd"/>
      <w:r w:rsidRPr="00FF6C22">
        <w:rPr>
          <w:rFonts w:ascii="Titillium" w:hAnsi="Titillium"/>
        </w:rPr>
        <w:t xml:space="preserve"> čimbenika na zdravlje.</w:t>
      </w:r>
    </w:p>
    <w:p w:rsidR="00677C9F" w:rsidRPr="00FF6C22" w:rsidRDefault="00677C9F" w:rsidP="00677C9F">
      <w:pPr>
        <w:rPr>
          <w:rFonts w:ascii="Titillium" w:hAnsi="Titillium"/>
        </w:rPr>
      </w:pPr>
    </w:p>
    <w:p w:rsidR="00677C9F" w:rsidRPr="00FF6C22" w:rsidRDefault="00677C9F" w:rsidP="00AE7900">
      <w:pPr>
        <w:pStyle w:val="Heading2"/>
        <w:jc w:val="both"/>
        <w:rPr>
          <w:rFonts w:ascii="Titillium" w:hAnsi="Titillium" w:cs="Arial"/>
          <w:b w:val="0"/>
          <w:color w:val="231F20"/>
        </w:rPr>
      </w:pPr>
      <w:r w:rsidRPr="00FF6C22">
        <w:rPr>
          <w:rFonts w:ascii="Titillium" w:hAnsi="Titillium" w:cs="Arial"/>
        </w:rPr>
        <w:t>Projekt</w:t>
      </w:r>
      <w:r w:rsidR="00942A3D" w:rsidRPr="00FF6C22">
        <w:rPr>
          <w:rFonts w:ascii="Titillium" w:hAnsi="Titillium" w:cs="Arial"/>
        </w:rPr>
        <w:t xml:space="preserve"> </w:t>
      </w:r>
      <w:r w:rsidR="00942A3D" w:rsidRPr="00FF6C22">
        <w:rPr>
          <w:rFonts w:ascii="Titillium" w:hAnsi="Titillium" w:cs="Arial"/>
          <w:b w:val="0"/>
        </w:rPr>
        <w:t>„Istraživačko-edukacijski centar za zdravstvenu i medicinsku ekologiju i zaštitu od zračenja – Rekonstrukcija i dogradnja Instituta za medicinska istraživanja i medicinu rada u Zagrebu“</w:t>
      </w:r>
      <w:r w:rsidR="00BC0690" w:rsidRPr="00FF6C22">
        <w:rPr>
          <w:rFonts w:ascii="Titillium" w:hAnsi="Titillium" w:cs="Arial"/>
          <w:b w:val="0"/>
        </w:rPr>
        <w:t xml:space="preserve"> </w:t>
      </w:r>
      <w:r w:rsidR="00FF6C22">
        <w:rPr>
          <w:rFonts w:ascii="Titillium" w:hAnsi="Titillium" w:cs="Arial"/>
          <w:b w:val="0"/>
        </w:rPr>
        <w:t xml:space="preserve">osmišljen je kako bi Institut unaprijedio svoju infrastrukturu, povećao kapacitete i osnažio svoj položaj </w:t>
      </w:r>
      <w:r w:rsidR="00C25CA0">
        <w:rPr>
          <w:rFonts w:ascii="Titillium" w:hAnsi="Titillium" w:cs="Arial"/>
          <w:b w:val="0"/>
        </w:rPr>
        <w:t xml:space="preserve">u nacionalnim i regionalnim </w:t>
      </w:r>
      <w:r w:rsidR="00AE7900">
        <w:rPr>
          <w:rFonts w:ascii="Titillium" w:hAnsi="Titillium" w:cs="Arial"/>
          <w:b w:val="0"/>
        </w:rPr>
        <w:t xml:space="preserve">znanstvenoistraživačkim </w:t>
      </w:r>
      <w:r w:rsidR="00C25CA0">
        <w:rPr>
          <w:rFonts w:ascii="Titillium" w:hAnsi="Titillium" w:cs="Arial"/>
          <w:b w:val="0"/>
        </w:rPr>
        <w:t>okvirima</w:t>
      </w:r>
      <w:r w:rsidR="00426878">
        <w:rPr>
          <w:rFonts w:ascii="Titillium" w:hAnsi="Titillium" w:cs="Arial"/>
          <w:b w:val="0"/>
        </w:rPr>
        <w:t>. Iznos bespovratnih sredstava dodijeljenih iz Europskog fonda za regionalni razvoj (EFRR)</w:t>
      </w:r>
      <w:r w:rsidR="00C25CA0">
        <w:rPr>
          <w:rFonts w:ascii="Titillium" w:hAnsi="Titillium" w:cs="Arial"/>
          <w:b w:val="0"/>
        </w:rPr>
        <w:t xml:space="preserve"> je 232.602.280,72 HRK, a očekivani završetak provedbe prosinac 2021. godine. Posredničko tijelo razine 1 u sklopu ovoga projekta je MZO, dok je posredničko tijelo razine 2 Središnja agencija za financiranje i ugovaranje projekata i programa Europske unije (SAFU).</w:t>
      </w:r>
      <w:r w:rsidR="00AE7900">
        <w:rPr>
          <w:rFonts w:ascii="Titillium" w:hAnsi="Titillium" w:cs="Arial"/>
          <w:b w:val="0"/>
        </w:rPr>
        <w:t xml:space="preserve"> </w:t>
      </w:r>
      <w:r w:rsidR="00AE7900" w:rsidRPr="00AE7900">
        <w:rPr>
          <w:rFonts w:ascii="Titillium" w:hAnsi="Titillium" w:cs="Arial"/>
          <w:b w:val="0"/>
        </w:rPr>
        <w:t>I</w:t>
      </w:r>
      <w:r w:rsidR="00AE7900">
        <w:rPr>
          <w:rFonts w:ascii="Titillium" w:hAnsi="Titillium" w:cs="Arial"/>
          <w:b w:val="0"/>
        </w:rPr>
        <w:t>mplementacija projekta obuhvaća projektne aktivnosti izgradnje</w:t>
      </w:r>
      <w:r w:rsidR="00AE7900" w:rsidRPr="00AE7900">
        <w:rPr>
          <w:rFonts w:ascii="Titillium" w:hAnsi="Titillium" w:cs="Arial"/>
          <w:b w:val="0"/>
        </w:rPr>
        <w:t xml:space="preserve"> </w:t>
      </w:r>
      <w:r w:rsidR="00AE7900">
        <w:rPr>
          <w:rFonts w:ascii="Titillium" w:hAnsi="Titillium" w:cs="Arial"/>
          <w:b w:val="0"/>
        </w:rPr>
        <w:t>infrastrukture (</w:t>
      </w:r>
      <w:r w:rsidR="00AE7900" w:rsidRPr="00AE7900">
        <w:rPr>
          <w:rFonts w:ascii="Titillium" w:hAnsi="Titillium" w:cs="Arial"/>
          <w:b w:val="0"/>
        </w:rPr>
        <w:t>rekonstrukcija i dogradnja Instituta</w:t>
      </w:r>
      <w:r w:rsidR="00AE7900">
        <w:rPr>
          <w:rFonts w:ascii="Titillium" w:hAnsi="Titillium" w:cs="Arial"/>
          <w:b w:val="0"/>
        </w:rPr>
        <w:t>) i opremanja</w:t>
      </w:r>
      <w:r w:rsidR="00AE7900" w:rsidRPr="00AE7900">
        <w:rPr>
          <w:rFonts w:ascii="Titillium" w:hAnsi="Titillium" w:cs="Arial"/>
          <w:b w:val="0"/>
        </w:rPr>
        <w:t xml:space="preserve"> </w:t>
      </w:r>
      <w:r w:rsidR="00AE7900">
        <w:rPr>
          <w:rFonts w:ascii="Titillium" w:hAnsi="Titillium" w:cs="Arial"/>
          <w:b w:val="0"/>
        </w:rPr>
        <w:t>znanstvenoistraživačkom, laboratorijskom i informatičkom opremom</w:t>
      </w:r>
      <w:r w:rsidR="009D783E">
        <w:rPr>
          <w:rFonts w:ascii="Titillium" w:hAnsi="Titillium" w:cs="Arial"/>
          <w:b w:val="0"/>
        </w:rPr>
        <w:t>, stručni nadzor nad gradnjom, projektantski nadzor nad gradnjom, a</w:t>
      </w:r>
      <w:r w:rsidR="00DC2F6C">
        <w:rPr>
          <w:rFonts w:ascii="Titillium" w:hAnsi="Titillium" w:cs="Arial"/>
          <w:b w:val="0"/>
        </w:rPr>
        <w:t xml:space="preserve"> u sklopu kojih se provodi nekoliko postupaka javne nabave</w:t>
      </w:r>
      <w:r w:rsidR="00AE7900">
        <w:rPr>
          <w:rFonts w:ascii="Titillium" w:hAnsi="Titillium" w:cs="Arial"/>
          <w:b w:val="0"/>
        </w:rPr>
        <w:t xml:space="preserve">. </w:t>
      </w:r>
    </w:p>
    <w:p w:rsidR="00455930" w:rsidRPr="00FF6C22" w:rsidRDefault="00455930" w:rsidP="00455930">
      <w:pPr>
        <w:rPr>
          <w:rFonts w:ascii="Titillium" w:hAnsi="Titillium"/>
        </w:rPr>
      </w:pPr>
    </w:p>
    <w:p w:rsidR="002B6338" w:rsidRDefault="002B6338" w:rsidP="00677C9F">
      <w:pPr>
        <w:pStyle w:val="Heading2"/>
        <w:jc w:val="both"/>
        <w:rPr>
          <w:rFonts w:ascii="Titillium" w:hAnsi="Titillium"/>
          <w:b w:val="0"/>
          <w:bCs w:val="0"/>
        </w:rPr>
      </w:pPr>
    </w:p>
    <w:p w:rsidR="002B6338" w:rsidRPr="002B6338" w:rsidRDefault="002B6338" w:rsidP="002B6338">
      <w:bookmarkStart w:id="0" w:name="_GoBack"/>
      <w:bookmarkEnd w:id="0"/>
    </w:p>
    <w:p w:rsidR="00677C9F" w:rsidRPr="00FF6C22" w:rsidRDefault="00677C9F" w:rsidP="00677C9F">
      <w:pPr>
        <w:pStyle w:val="Heading2"/>
        <w:jc w:val="both"/>
        <w:rPr>
          <w:rFonts w:ascii="Titillium" w:hAnsi="Titillium" w:cs="Arial"/>
          <w:u w:val="single"/>
        </w:rPr>
      </w:pPr>
      <w:r w:rsidRPr="00FF6C22">
        <w:rPr>
          <w:rFonts w:ascii="Titillium" w:hAnsi="Titillium" w:cs="Arial"/>
          <w:color w:val="231F20"/>
          <w:u w:val="single"/>
        </w:rPr>
        <w:t>Kl</w:t>
      </w:r>
      <w:r w:rsidR="00DA1814" w:rsidRPr="00FF6C22">
        <w:rPr>
          <w:rFonts w:ascii="Titillium" w:hAnsi="Titillium" w:cs="Arial"/>
          <w:color w:val="231F20"/>
          <w:u w:val="single"/>
        </w:rPr>
        <w:t>jučne isporuke pružatelja usluge</w:t>
      </w:r>
    </w:p>
    <w:p w:rsidR="00677C9F" w:rsidRPr="00FF6C22" w:rsidRDefault="00677C9F" w:rsidP="00677C9F">
      <w:pPr>
        <w:jc w:val="both"/>
        <w:rPr>
          <w:rFonts w:ascii="Titillium" w:hAnsi="Titillium" w:cstheme="minorHAnsi"/>
          <w:sz w:val="22"/>
          <w:szCs w:val="22"/>
        </w:rPr>
      </w:pPr>
    </w:p>
    <w:p w:rsidR="00814462" w:rsidRPr="00FF6C22" w:rsidRDefault="00677C9F" w:rsidP="00814462">
      <w:pPr>
        <w:pStyle w:val="Heading2"/>
        <w:jc w:val="both"/>
        <w:rPr>
          <w:rFonts w:ascii="Titillium" w:hAnsi="Titillium" w:cs="Arial"/>
          <w:color w:val="231F20"/>
        </w:rPr>
      </w:pPr>
      <w:r w:rsidRPr="00FF6C22">
        <w:rPr>
          <w:rFonts w:ascii="Titillium" w:eastAsia="Calibri" w:hAnsi="Titillium" w:cs="Arial"/>
          <w:lang w:eastAsia="en-US"/>
        </w:rPr>
        <w:t>U nastavku je prikazana indikativna struktura ključnih isporuka</w:t>
      </w:r>
      <w:r w:rsidR="002B6338">
        <w:rPr>
          <w:rFonts w:ascii="Titillium" w:eastAsia="Calibri" w:hAnsi="Titillium" w:cs="Arial"/>
          <w:lang w:eastAsia="en-US"/>
        </w:rPr>
        <w:t xml:space="preserve"> usluga savjetovanja pri provođenju postupaka</w:t>
      </w:r>
      <w:r w:rsidR="00814462" w:rsidRPr="00FF6C22">
        <w:rPr>
          <w:rFonts w:ascii="Titillium" w:eastAsia="Calibri" w:hAnsi="Titillium" w:cs="Arial"/>
          <w:lang w:eastAsia="en-US"/>
        </w:rPr>
        <w:t xml:space="preserve"> javne nabave</w:t>
      </w:r>
      <w:r w:rsidR="002B6338">
        <w:rPr>
          <w:rFonts w:ascii="Titillium" w:eastAsia="Calibri" w:hAnsi="Titillium" w:cs="Arial"/>
          <w:lang w:eastAsia="en-US"/>
        </w:rPr>
        <w:t xml:space="preserve">  u</w:t>
      </w:r>
      <w:r w:rsidR="00DA1814" w:rsidRPr="00FF6C22">
        <w:rPr>
          <w:rFonts w:ascii="Titillium" w:eastAsia="Calibri" w:hAnsi="Titillium" w:cs="Arial"/>
          <w:lang w:eastAsia="en-US"/>
        </w:rPr>
        <w:t xml:space="preserve"> provedbi </w:t>
      </w:r>
      <w:r w:rsidRPr="00FF6C22">
        <w:rPr>
          <w:rFonts w:ascii="Titillium" w:eastAsia="Calibri" w:hAnsi="Titillium" w:cs="Arial"/>
          <w:lang w:eastAsia="en-US"/>
        </w:rPr>
        <w:t>projekt</w:t>
      </w:r>
      <w:r w:rsidR="00DA1814" w:rsidRPr="00FF6C22">
        <w:rPr>
          <w:rFonts w:ascii="Titillium" w:eastAsia="Calibri" w:hAnsi="Titillium" w:cs="Arial"/>
          <w:lang w:eastAsia="en-US"/>
        </w:rPr>
        <w:t>a</w:t>
      </w:r>
      <w:r w:rsidR="00814462" w:rsidRPr="00FF6C22">
        <w:rPr>
          <w:rFonts w:ascii="Titillium" w:eastAsia="Calibri" w:hAnsi="Titillium" w:cs="Arial"/>
          <w:lang w:eastAsia="en-US"/>
        </w:rPr>
        <w:t xml:space="preserve"> </w:t>
      </w:r>
      <w:r w:rsidR="00814462" w:rsidRPr="00FF6C22">
        <w:rPr>
          <w:rFonts w:ascii="Titillium" w:hAnsi="Titillium" w:cs="Arial"/>
        </w:rPr>
        <w:t xml:space="preserve">„Istraživačko-edukacijski </w:t>
      </w:r>
      <w:r w:rsidR="00814462" w:rsidRPr="00FF6C22">
        <w:rPr>
          <w:rFonts w:ascii="Titillium" w:hAnsi="Titillium" w:cs="Arial"/>
        </w:rPr>
        <w:lastRenderedPageBreak/>
        <w:t xml:space="preserve">centar za zdravstvenu i medicinsku ekologiju i zaštitu od zračenja – Rekonstrukcija i dogradnja Instituta za medicinska istraživanja i medicinu rada u Zagrebu“ </w:t>
      </w:r>
    </w:p>
    <w:p w:rsidR="00677C9F" w:rsidRPr="00FF6C22" w:rsidRDefault="00BC0690" w:rsidP="00677C9F">
      <w:pPr>
        <w:jc w:val="both"/>
        <w:rPr>
          <w:rFonts w:ascii="Titillium" w:eastAsia="Calibri" w:hAnsi="Titillium" w:cs="Arial"/>
          <w:i/>
          <w:lang w:eastAsia="en-US"/>
        </w:rPr>
      </w:pPr>
      <w:r w:rsidRPr="00FF6C22">
        <w:rPr>
          <w:rFonts w:ascii="Titillium" w:hAnsi="Titillium" w:cs="Arial"/>
        </w:rPr>
        <w:t xml:space="preserve"> </w:t>
      </w:r>
      <w:r w:rsidR="00677C9F" w:rsidRPr="00FF6C22">
        <w:rPr>
          <w:rFonts w:ascii="Titillium" w:eastAsia="Calibri" w:hAnsi="Titillium" w:cs="Arial"/>
          <w:i/>
          <w:lang w:eastAsia="en-US"/>
        </w:rPr>
        <w:t>.</w:t>
      </w:r>
    </w:p>
    <w:p w:rsidR="00677C9F" w:rsidRPr="00FF6C22" w:rsidRDefault="00677C9F" w:rsidP="00677C9F">
      <w:pPr>
        <w:jc w:val="both"/>
        <w:rPr>
          <w:rFonts w:ascii="Titillium" w:eastAsia="Calibri" w:hAnsi="Titillium" w:cs="Arial"/>
          <w:b/>
        </w:rPr>
      </w:pPr>
    </w:p>
    <w:p w:rsidR="00677C9F" w:rsidRPr="00FF6C22" w:rsidRDefault="00942A3D" w:rsidP="00677C9F">
      <w:pPr>
        <w:jc w:val="both"/>
        <w:rPr>
          <w:rFonts w:ascii="Titillium" w:eastAsia="Calibri" w:hAnsi="Titillium" w:cs="Arial"/>
          <w:b/>
        </w:rPr>
      </w:pPr>
      <w:r w:rsidRPr="00FF6C22">
        <w:rPr>
          <w:rFonts w:ascii="Titillium" w:eastAsia="Calibri" w:hAnsi="Titillium" w:cs="Arial"/>
          <w:color w:val="000000"/>
        </w:rPr>
        <w:t>1</w:t>
      </w:r>
      <w:r w:rsidR="00677C9F" w:rsidRPr="00FF6C22">
        <w:rPr>
          <w:rFonts w:ascii="Titillium" w:eastAsia="Calibri" w:hAnsi="Titillium" w:cs="Arial"/>
          <w:color w:val="000000"/>
        </w:rPr>
        <w:t xml:space="preserve">. Savjetovanje Naručitelja u </w:t>
      </w:r>
      <w:r w:rsidR="00AE62AB">
        <w:rPr>
          <w:rFonts w:ascii="Titillium" w:eastAsia="Calibri" w:hAnsi="Titillium" w:cs="Arial"/>
          <w:color w:val="000000"/>
        </w:rPr>
        <w:t xml:space="preserve">pripremi i </w:t>
      </w:r>
      <w:r w:rsidR="00677C9F" w:rsidRPr="00FF6C22">
        <w:rPr>
          <w:rFonts w:ascii="Titillium" w:eastAsia="Calibri" w:hAnsi="Titillium" w:cs="Arial"/>
          <w:color w:val="000000"/>
        </w:rPr>
        <w:t xml:space="preserve">provedbi svih faza postupaka javne nabave u okviru </w:t>
      </w:r>
      <w:r w:rsidR="00677C9F" w:rsidRPr="00FF6C22">
        <w:rPr>
          <w:rFonts w:ascii="Titillium" w:eastAsia="Calibri" w:hAnsi="Titillium" w:cs="Arial"/>
        </w:rPr>
        <w:t xml:space="preserve">projekta </w:t>
      </w:r>
      <w:r w:rsidRPr="00FF6C22">
        <w:rPr>
          <w:rFonts w:ascii="Titillium" w:hAnsi="Titillium" w:cs="Arial"/>
        </w:rPr>
        <w:t>„Istraživačko-edukacijski centar za zdravstvenu i medicinsku ekologiju i zaštitu od zračenja – Rekonstrukcija i dogradnja Instituta za medicinska istraživanja i medicinu rada u Zagrebu“</w:t>
      </w:r>
    </w:p>
    <w:p w:rsidR="00677C9F" w:rsidRPr="00FF6C22" w:rsidRDefault="00677C9F" w:rsidP="00677C9F">
      <w:pPr>
        <w:jc w:val="both"/>
        <w:rPr>
          <w:rFonts w:ascii="Titillium" w:eastAsia="Calibri" w:hAnsi="Titillium" w:cs="Arial"/>
          <w:b/>
        </w:rPr>
      </w:pPr>
    </w:p>
    <w:p w:rsidR="00677C9F" w:rsidRPr="00CC0BAB" w:rsidRDefault="00677C9F" w:rsidP="00CC0BAB">
      <w:pPr>
        <w:pStyle w:val="ListParagraph"/>
        <w:numPr>
          <w:ilvl w:val="1"/>
          <w:numId w:val="3"/>
        </w:numPr>
        <w:contextualSpacing/>
        <w:jc w:val="both"/>
        <w:rPr>
          <w:rFonts w:ascii="Titillium" w:eastAsia="Calibri" w:hAnsi="Titillium" w:cs="Arial"/>
          <w:lang w:bidi="hr-HR"/>
        </w:rPr>
      </w:pPr>
      <w:r w:rsidRPr="00CC0BAB">
        <w:rPr>
          <w:rFonts w:ascii="Titillium" w:eastAsia="Calibri" w:hAnsi="Titillium" w:cs="Arial"/>
          <w:lang w:bidi="hr-HR"/>
        </w:rPr>
        <w:t xml:space="preserve">Isporučeni savjeti i preporuke Naručitelju u pisanom obliku </w:t>
      </w:r>
      <w:r w:rsidR="00CC0BAB" w:rsidRPr="00CC0BAB">
        <w:rPr>
          <w:rFonts w:ascii="Titillium" w:eastAsia="Calibri" w:hAnsi="Titillium" w:cs="Arial"/>
          <w:color w:val="212100"/>
        </w:rPr>
        <w:t>za svaki pojedinačni postupak javne</w:t>
      </w:r>
      <w:r w:rsidRPr="00CC0BAB">
        <w:rPr>
          <w:rFonts w:ascii="Titillium" w:eastAsia="Calibri" w:hAnsi="Titillium" w:cs="Arial"/>
          <w:color w:val="212100"/>
        </w:rPr>
        <w:t xml:space="preserve"> nabavu</w:t>
      </w:r>
      <w:r w:rsidRPr="00CC0BAB">
        <w:rPr>
          <w:rFonts w:ascii="Titillium" w:eastAsia="Calibri" w:hAnsi="Titillium" w:cs="Arial"/>
          <w:lang w:bidi="hr-HR"/>
        </w:rPr>
        <w:t xml:space="preserve"> vezano za:</w:t>
      </w:r>
    </w:p>
    <w:p w:rsidR="00CC0BAB" w:rsidRPr="00CC0BAB" w:rsidRDefault="00CC0BAB" w:rsidP="00CC0BAB">
      <w:pPr>
        <w:pStyle w:val="ListParagraph"/>
        <w:ind w:left="1440"/>
        <w:contextualSpacing/>
        <w:jc w:val="both"/>
        <w:rPr>
          <w:rFonts w:ascii="Titillium" w:eastAsia="Calibri" w:hAnsi="Titillium" w:cs="Arial"/>
          <w:lang w:bidi="hr-HR"/>
        </w:rPr>
      </w:pPr>
      <w:r>
        <w:rPr>
          <w:rFonts w:ascii="Titillium" w:eastAsia="Calibri" w:hAnsi="Titillium" w:cs="Arial"/>
          <w:lang w:bidi="hr-HR"/>
        </w:rPr>
        <w:t>- istraživanje tržišta,</w:t>
      </w:r>
    </w:p>
    <w:p w:rsidR="00677C9F" w:rsidRPr="00FF6C22" w:rsidRDefault="00677C9F" w:rsidP="00677C9F">
      <w:pPr>
        <w:ind w:left="1440"/>
        <w:contextualSpacing/>
        <w:jc w:val="both"/>
        <w:rPr>
          <w:rFonts w:ascii="Titillium" w:eastAsia="Calibri" w:hAnsi="Titillium" w:cs="Arial"/>
        </w:rPr>
      </w:pPr>
      <w:r w:rsidRPr="00FF6C22">
        <w:rPr>
          <w:rFonts w:ascii="Titillium" w:eastAsia="Calibri" w:hAnsi="Titillium" w:cs="Arial"/>
        </w:rPr>
        <w:t>- prethodno savjetovanje</w:t>
      </w:r>
      <w:r w:rsidR="00CC0BAB">
        <w:rPr>
          <w:rFonts w:ascii="Titillium" w:eastAsia="Calibri" w:hAnsi="Titillium" w:cs="Arial"/>
        </w:rPr>
        <w:t>,</w:t>
      </w:r>
    </w:p>
    <w:p w:rsidR="00677C9F" w:rsidRPr="00FF6C22" w:rsidRDefault="00677C9F" w:rsidP="00677C9F">
      <w:pPr>
        <w:ind w:left="1440"/>
        <w:contextualSpacing/>
        <w:jc w:val="both"/>
        <w:rPr>
          <w:rFonts w:ascii="Titillium" w:eastAsia="Calibri" w:hAnsi="Titillium" w:cs="Arial"/>
        </w:rPr>
      </w:pPr>
      <w:r w:rsidRPr="00FF6C22">
        <w:rPr>
          <w:rFonts w:ascii="Titillium" w:eastAsia="Calibri" w:hAnsi="Titillium" w:cs="Arial"/>
        </w:rPr>
        <w:t>- dokumentaciju o nabavi i kriterije za odabir ponude</w:t>
      </w:r>
      <w:r w:rsidR="00CC0BAB">
        <w:rPr>
          <w:rFonts w:ascii="Titillium" w:eastAsia="Calibri" w:hAnsi="Titillium" w:cs="Arial"/>
        </w:rPr>
        <w:t>,</w:t>
      </w:r>
    </w:p>
    <w:p w:rsidR="00677C9F" w:rsidRPr="00FF6C22" w:rsidRDefault="00677C9F" w:rsidP="00677C9F">
      <w:pPr>
        <w:ind w:left="1440"/>
        <w:contextualSpacing/>
        <w:jc w:val="both"/>
        <w:rPr>
          <w:rFonts w:ascii="Titillium" w:eastAsia="Calibri" w:hAnsi="Titillium" w:cs="Arial"/>
        </w:rPr>
      </w:pPr>
      <w:r w:rsidRPr="00FF6C22">
        <w:rPr>
          <w:rFonts w:ascii="Titillium" w:eastAsia="Calibri" w:hAnsi="Titillium" w:cs="Arial"/>
        </w:rPr>
        <w:t xml:space="preserve">- pojašnjenja na pitanja </w:t>
      </w:r>
      <w:r w:rsidRPr="00FF6C22">
        <w:rPr>
          <w:rFonts w:ascii="Titillium" w:eastAsia="Arial" w:hAnsi="Titillium" w:cs="Arial"/>
          <w:color w:val="212100"/>
        </w:rPr>
        <w:t>zainteresiranih gospodarskih subjekata</w:t>
      </w:r>
      <w:r w:rsidR="00CC0BAB">
        <w:rPr>
          <w:rFonts w:ascii="Titillium" w:eastAsia="Arial" w:hAnsi="Titillium" w:cs="Arial"/>
          <w:color w:val="212100"/>
        </w:rPr>
        <w:t>,</w:t>
      </w:r>
    </w:p>
    <w:p w:rsidR="00677C9F" w:rsidRPr="00FF6C22" w:rsidRDefault="00677C9F" w:rsidP="00677C9F">
      <w:pPr>
        <w:ind w:left="1440"/>
        <w:contextualSpacing/>
        <w:jc w:val="both"/>
        <w:rPr>
          <w:rFonts w:ascii="Titillium" w:eastAsia="Calibri" w:hAnsi="Titillium" w:cs="Arial"/>
        </w:rPr>
      </w:pPr>
      <w:r w:rsidRPr="00FF6C22">
        <w:rPr>
          <w:rFonts w:ascii="Titillium" w:eastAsia="Calibri" w:hAnsi="Titillium" w:cs="Arial"/>
        </w:rPr>
        <w:t>- izmjene i dopune Dokumentacije o nabavi</w:t>
      </w:r>
      <w:r w:rsidR="00CC0BAB">
        <w:rPr>
          <w:rFonts w:ascii="Titillium" w:eastAsia="Calibri" w:hAnsi="Titillium" w:cs="Arial"/>
        </w:rPr>
        <w:t>,</w:t>
      </w:r>
      <w:r w:rsidRPr="00FF6C22">
        <w:rPr>
          <w:rFonts w:ascii="Titillium" w:eastAsia="Calibri" w:hAnsi="Titillium" w:cs="Arial"/>
        </w:rPr>
        <w:t xml:space="preserve"> </w:t>
      </w:r>
    </w:p>
    <w:p w:rsidR="00677C9F" w:rsidRPr="00FF6C22" w:rsidRDefault="00677C9F" w:rsidP="00677C9F">
      <w:pPr>
        <w:ind w:left="1440"/>
        <w:contextualSpacing/>
        <w:jc w:val="both"/>
        <w:rPr>
          <w:rFonts w:ascii="Titillium" w:eastAsia="Calibri" w:hAnsi="Titillium" w:cs="Arial"/>
        </w:rPr>
      </w:pPr>
      <w:r w:rsidRPr="00FF6C22">
        <w:rPr>
          <w:rFonts w:ascii="Titillium" w:eastAsia="Calibri" w:hAnsi="Titillium" w:cs="Arial"/>
        </w:rPr>
        <w:t>- pregled i ocjenu ponuda</w:t>
      </w:r>
      <w:r w:rsidR="00CC0BAB">
        <w:rPr>
          <w:rFonts w:ascii="Titillium" w:eastAsia="Calibri" w:hAnsi="Titillium" w:cs="Arial"/>
        </w:rPr>
        <w:t>,</w:t>
      </w:r>
    </w:p>
    <w:p w:rsidR="00677C9F" w:rsidRPr="00FF6C22" w:rsidRDefault="00677C9F" w:rsidP="00677C9F">
      <w:pPr>
        <w:ind w:left="1440"/>
        <w:contextualSpacing/>
        <w:jc w:val="both"/>
        <w:rPr>
          <w:rFonts w:ascii="Titillium" w:eastAsia="Calibri" w:hAnsi="Titillium" w:cs="Arial"/>
        </w:rPr>
      </w:pPr>
      <w:r w:rsidRPr="00FF6C22">
        <w:rPr>
          <w:rFonts w:ascii="Titillium" w:eastAsia="Calibri" w:hAnsi="Titillium" w:cs="Arial"/>
        </w:rPr>
        <w:t>- zapisnike, odluke, obavijesti</w:t>
      </w:r>
      <w:r w:rsidR="00CC0BAB">
        <w:rPr>
          <w:rFonts w:ascii="Titillium" w:eastAsia="Calibri" w:hAnsi="Titillium" w:cs="Arial"/>
        </w:rPr>
        <w:t>,</w:t>
      </w:r>
    </w:p>
    <w:p w:rsidR="00677C9F" w:rsidRPr="00FF6C22" w:rsidRDefault="00677C9F" w:rsidP="00677C9F">
      <w:pPr>
        <w:ind w:left="1440"/>
        <w:contextualSpacing/>
        <w:jc w:val="both"/>
        <w:rPr>
          <w:rFonts w:ascii="Titillium" w:eastAsia="Calibri" w:hAnsi="Titillium" w:cs="Arial"/>
        </w:rPr>
      </w:pPr>
      <w:r w:rsidRPr="00FF6C22">
        <w:rPr>
          <w:rFonts w:ascii="Titillium" w:eastAsia="Calibri" w:hAnsi="Titillium" w:cs="Arial"/>
        </w:rPr>
        <w:t>- žalbe ponuditelja</w:t>
      </w:r>
      <w:r w:rsidR="00DA1814" w:rsidRPr="00FF6C22">
        <w:rPr>
          <w:rFonts w:ascii="Titillium" w:eastAsia="Calibri" w:hAnsi="Titillium" w:cs="Arial"/>
        </w:rPr>
        <w:t>;</w:t>
      </w:r>
    </w:p>
    <w:p w:rsidR="00942A3D" w:rsidRPr="00FF6C22" w:rsidRDefault="00942A3D" w:rsidP="00677C9F">
      <w:pPr>
        <w:ind w:left="1440"/>
        <w:contextualSpacing/>
        <w:jc w:val="both"/>
        <w:rPr>
          <w:rFonts w:ascii="Titillium" w:eastAsia="Calibri" w:hAnsi="Titillium" w:cs="Arial"/>
        </w:rPr>
      </w:pPr>
    </w:p>
    <w:p w:rsidR="00677C9F" w:rsidRPr="00FF6C22" w:rsidRDefault="00942A3D" w:rsidP="00677C9F">
      <w:pPr>
        <w:ind w:left="720"/>
        <w:contextualSpacing/>
        <w:jc w:val="both"/>
        <w:rPr>
          <w:rFonts w:ascii="Titillium" w:eastAsia="Calibri" w:hAnsi="Titillium" w:cs="Arial"/>
          <w:lang w:bidi="hr-HR"/>
        </w:rPr>
      </w:pPr>
      <w:r w:rsidRPr="00FF6C22">
        <w:rPr>
          <w:rFonts w:ascii="Titillium" w:eastAsia="Calibri" w:hAnsi="Titillium" w:cs="Arial"/>
          <w:lang w:bidi="hr-HR"/>
        </w:rPr>
        <w:t>1</w:t>
      </w:r>
      <w:r w:rsidR="00677C9F" w:rsidRPr="00FF6C22">
        <w:rPr>
          <w:rFonts w:ascii="Titillium" w:eastAsia="Calibri" w:hAnsi="Titillium" w:cs="Arial"/>
          <w:lang w:bidi="hr-HR"/>
        </w:rPr>
        <w:t xml:space="preserve">.2. Isporučeni savjeti i preporuke Naručitelju u pisanom obliku </w:t>
      </w:r>
      <w:r w:rsidR="00DA1814" w:rsidRPr="00FF6C22">
        <w:rPr>
          <w:rFonts w:ascii="Titillium" w:eastAsia="Calibri" w:hAnsi="Titillium" w:cs="Arial"/>
          <w:color w:val="212100"/>
        </w:rPr>
        <w:t>za svaki pojedinačni postupak javne nabave</w:t>
      </w:r>
      <w:r w:rsidR="00677C9F" w:rsidRPr="00FF6C22">
        <w:rPr>
          <w:rFonts w:ascii="Titillium" w:eastAsia="Calibri" w:hAnsi="Titillium" w:cs="Arial"/>
          <w:lang w:bidi="hr-HR"/>
        </w:rPr>
        <w:t xml:space="preserve"> vezano za pravne i komercijalne uvjete nabave te ugovor o nabavi</w:t>
      </w:r>
      <w:r w:rsidR="00DA1814" w:rsidRPr="00FF6C22">
        <w:rPr>
          <w:rFonts w:ascii="Titillium" w:eastAsia="Calibri" w:hAnsi="Titillium" w:cs="Arial"/>
          <w:lang w:bidi="hr-HR"/>
        </w:rPr>
        <w:t>;</w:t>
      </w:r>
    </w:p>
    <w:p w:rsidR="00677C9F" w:rsidRDefault="00942A3D" w:rsidP="00677C9F">
      <w:pPr>
        <w:ind w:left="720"/>
        <w:contextualSpacing/>
        <w:jc w:val="both"/>
        <w:rPr>
          <w:rFonts w:ascii="Titillium" w:eastAsia="Calibri" w:hAnsi="Titillium" w:cs="Arial"/>
        </w:rPr>
      </w:pPr>
      <w:r w:rsidRPr="00FF6C22">
        <w:rPr>
          <w:rFonts w:ascii="Titillium" w:eastAsia="Calibri" w:hAnsi="Titillium" w:cs="Arial"/>
        </w:rPr>
        <w:t>1</w:t>
      </w:r>
      <w:r w:rsidR="00677C9F" w:rsidRPr="00FF6C22">
        <w:rPr>
          <w:rFonts w:ascii="Titillium" w:eastAsia="Calibri" w:hAnsi="Titillium" w:cs="Arial"/>
        </w:rPr>
        <w:t>.3. Izrađene upute o načinu administriranja dokumentacije o javnoj nabavi</w:t>
      </w:r>
      <w:r w:rsidR="00DA1814" w:rsidRPr="00FF6C22">
        <w:rPr>
          <w:rFonts w:ascii="Titillium" w:eastAsia="Calibri" w:hAnsi="Titillium" w:cs="Arial"/>
        </w:rPr>
        <w:t>.</w:t>
      </w:r>
    </w:p>
    <w:p w:rsidR="009B08ED" w:rsidRDefault="009B08ED" w:rsidP="00677C9F">
      <w:pPr>
        <w:ind w:left="720"/>
        <w:contextualSpacing/>
        <w:jc w:val="both"/>
        <w:rPr>
          <w:rFonts w:ascii="Titillium" w:eastAsia="Calibri" w:hAnsi="Titillium" w:cs="Arial"/>
        </w:rPr>
      </w:pPr>
    </w:p>
    <w:p w:rsidR="009B08ED" w:rsidRPr="00FF6C22" w:rsidRDefault="009B08ED" w:rsidP="00677C9F">
      <w:pPr>
        <w:ind w:left="720"/>
        <w:contextualSpacing/>
        <w:jc w:val="both"/>
        <w:rPr>
          <w:rFonts w:ascii="Titillium" w:eastAsia="Calibri" w:hAnsi="Titillium" w:cs="Arial"/>
        </w:rPr>
      </w:pPr>
      <w:r>
        <w:rPr>
          <w:rFonts w:ascii="Titillium" w:eastAsia="Calibri" w:hAnsi="Titillium" w:cs="Arial"/>
        </w:rPr>
        <w:t xml:space="preserve">1.4. Savjetovanje Naručitelja uključuje održavanje redovitih  radnih sastanaka u sjedištu Naručitelja uz sudjelovanje ključnog/ključnih stručnjaka Ponuditelja i članova projektnog tima Naručitelja. </w:t>
      </w:r>
    </w:p>
    <w:p w:rsidR="00677C9F" w:rsidRPr="00FF6C22" w:rsidRDefault="00677C9F" w:rsidP="00677C9F">
      <w:pPr>
        <w:ind w:left="720"/>
        <w:jc w:val="both"/>
        <w:rPr>
          <w:rFonts w:ascii="Titillium" w:eastAsia="Calibri" w:hAnsi="Titillium" w:cs="Arial"/>
          <w:b/>
        </w:rPr>
      </w:pPr>
    </w:p>
    <w:p w:rsidR="00677C9F" w:rsidRPr="00FF6C22" w:rsidRDefault="00942A3D" w:rsidP="00677C9F">
      <w:pPr>
        <w:pStyle w:val="ListParagraph"/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Titillium" w:hAnsi="Titillium" w:cs="Arial"/>
        </w:rPr>
      </w:pPr>
      <w:r w:rsidRPr="00FF6C22">
        <w:rPr>
          <w:rFonts w:ascii="Titillium" w:hAnsi="Titillium" w:cs="Arial"/>
          <w:bCs/>
        </w:rPr>
        <w:t>Ključni stručnjak</w:t>
      </w:r>
      <w:r w:rsidR="00AE62AB">
        <w:rPr>
          <w:rFonts w:ascii="Titillium" w:hAnsi="Titillium" w:cs="Arial"/>
          <w:bCs/>
        </w:rPr>
        <w:t>/stručnjaci</w:t>
      </w:r>
      <w:r w:rsidR="00677C9F" w:rsidRPr="00FF6C22">
        <w:rPr>
          <w:rFonts w:ascii="Titillium" w:hAnsi="Titillium" w:cs="Arial"/>
          <w:bCs/>
        </w:rPr>
        <w:t xml:space="preserve">: </w:t>
      </w:r>
      <w:r w:rsidR="00677C9F" w:rsidRPr="00FF6C22">
        <w:rPr>
          <w:rFonts w:ascii="Titillium" w:hAnsi="Titillium" w:cs="Arial"/>
        </w:rPr>
        <w:t>Stručnjak za javnu nabavu</w:t>
      </w:r>
    </w:p>
    <w:p w:rsidR="00677C9F" w:rsidRPr="00FF6C22" w:rsidRDefault="00677C9F" w:rsidP="00677C9F">
      <w:pPr>
        <w:pStyle w:val="ListParagraph"/>
        <w:suppressAutoHyphens w:val="0"/>
        <w:ind w:left="284"/>
        <w:contextualSpacing/>
        <w:jc w:val="both"/>
        <w:rPr>
          <w:rFonts w:ascii="Titillium" w:hAnsi="Titillium" w:cs="Arial"/>
        </w:rPr>
      </w:pPr>
    </w:p>
    <w:p w:rsidR="003224FA" w:rsidRDefault="00942A3D" w:rsidP="00677C9F">
      <w:pPr>
        <w:pStyle w:val="ListParagraph"/>
        <w:suppressAutoHyphens w:val="0"/>
        <w:ind w:left="284"/>
        <w:contextualSpacing/>
        <w:jc w:val="both"/>
        <w:rPr>
          <w:rFonts w:ascii="Titillium" w:eastAsia="Calibri" w:hAnsi="Titillium" w:cs="Arial"/>
        </w:rPr>
      </w:pPr>
      <w:r w:rsidRPr="00FF6C22">
        <w:rPr>
          <w:rFonts w:ascii="Titillium" w:hAnsi="Titillium" w:cs="Arial"/>
        </w:rPr>
        <w:t>Stručnjak</w:t>
      </w:r>
      <w:r w:rsidR="00AE62AB">
        <w:rPr>
          <w:rFonts w:ascii="Titillium" w:hAnsi="Titillium" w:cs="Arial"/>
        </w:rPr>
        <w:t>/Stručnjaci</w:t>
      </w:r>
      <w:r w:rsidRPr="00FF6C22">
        <w:rPr>
          <w:rFonts w:ascii="Titillium" w:hAnsi="Titillium" w:cs="Arial"/>
        </w:rPr>
        <w:t xml:space="preserve"> za javnu nabavu zadužen je</w:t>
      </w:r>
      <w:r w:rsidR="00677C9F" w:rsidRPr="00FF6C22">
        <w:rPr>
          <w:rFonts w:ascii="Titillium" w:hAnsi="Titillium" w:cs="Arial"/>
        </w:rPr>
        <w:t xml:space="preserve"> za savjetovanje Naručitelja u sveobuhvatnom upravljanju procesom</w:t>
      </w:r>
      <w:r w:rsidR="00DA1814" w:rsidRPr="00FF6C22">
        <w:rPr>
          <w:rFonts w:ascii="Titillium" w:hAnsi="Titillium" w:cs="Arial"/>
        </w:rPr>
        <w:t xml:space="preserve"> pri</w:t>
      </w:r>
      <w:r w:rsidR="00AE62AB">
        <w:rPr>
          <w:rFonts w:ascii="Titillium" w:hAnsi="Titillium" w:cs="Arial"/>
        </w:rPr>
        <w:t>likom pripreme i provedbe</w:t>
      </w:r>
      <w:r w:rsidR="00DA1814" w:rsidRPr="00FF6C22">
        <w:rPr>
          <w:rFonts w:ascii="Titillium" w:hAnsi="Titillium" w:cs="Arial"/>
        </w:rPr>
        <w:t xml:space="preserve"> </w:t>
      </w:r>
      <w:r w:rsidR="00053EBC">
        <w:rPr>
          <w:rFonts w:ascii="Titillium" w:hAnsi="Titillium" w:cs="Arial"/>
        </w:rPr>
        <w:t>sedam osam</w:t>
      </w:r>
      <w:r w:rsidR="00DA1814" w:rsidRPr="00FF6C22">
        <w:rPr>
          <w:rFonts w:ascii="Titillium" w:hAnsi="Titillium" w:cs="Arial"/>
        </w:rPr>
        <w:t xml:space="preserve"> postupaka</w:t>
      </w:r>
      <w:r w:rsidR="00677C9F" w:rsidRPr="00FF6C22">
        <w:rPr>
          <w:rFonts w:ascii="Titillium" w:hAnsi="Titillium" w:cs="Arial"/>
        </w:rPr>
        <w:t xml:space="preserve"> </w:t>
      </w:r>
      <w:r w:rsidR="00677C9F" w:rsidRPr="00FF6C22">
        <w:rPr>
          <w:rFonts w:ascii="Titillium" w:eastAsia="Calibri" w:hAnsi="Titillium" w:cs="Arial"/>
        </w:rPr>
        <w:t xml:space="preserve">javne nabave u okviru projekta </w:t>
      </w:r>
      <w:r w:rsidRPr="00FF6C22">
        <w:rPr>
          <w:rFonts w:ascii="Titillium" w:hAnsi="Titillium" w:cs="Arial"/>
        </w:rPr>
        <w:t>„Istraživačko-edukacijski centar za zdravstvenu i medicinsku ekologiju i zaštitu od zračenja – Rekonstrukcija i dogradnja Instituta za medicinska istraživanja i medicinu rada u Zagrebu“</w:t>
      </w:r>
      <w:r w:rsidR="00DA1814" w:rsidRPr="00FF6C22">
        <w:rPr>
          <w:rFonts w:ascii="Titillium" w:hAnsi="Titillium" w:cs="Arial"/>
        </w:rPr>
        <w:t xml:space="preserve">, a </w:t>
      </w:r>
      <w:r w:rsidR="00677C9F" w:rsidRPr="00FF6C22">
        <w:rPr>
          <w:rFonts w:ascii="Titillium" w:eastAsia="Calibri" w:hAnsi="Titillium" w:cs="Arial"/>
        </w:rPr>
        <w:t>s posebnim osvrtom na racionalizaciju i učinkovitost procesa</w:t>
      </w:r>
      <w:r w:rsidRPr="00FF6C22">
        <w:rPr>
          <w:rFonts w:ascii="Titillium" w:eastAsia="Calibri" w:hAnsi="Titillium" w:cs="Arial"/>
        </w:rPr>
        <w:t xml:space="preserve"> javne</w:t>
      </w:r>
      <w:r w:rsidR="00677C9F" w:rsidRPr="00FF6C22">
        <w:rPr>
          <w:rFonts w:ascii="Titillium" w:eastAsia="Calibri" w:hAnsi="Titillium" w:cs="Arial"/>
        </w:rPr>
        <w:t xml:space="preserve"> nabave, te ispravnost i prihvatljivost provedenih postupaka</w:t>
      </w:r>
      <w:r w:rsidRPr="00FF6C22">
        <w:rPr>
          <w:rFonts w:ascii="Titillium" w:eastAsia="Calibri" w:hAnsi="Titillium" w:cs="Arial"/>
        </w:rPr>
        <w:t xml:space="preserve"> javne</w:t>
      </w:r>
      <w:r w:rsidR="00677C9F" w:rsidRPr="00FF6C22">
        <w:rPr>
          <w:rFonts w:ascii="Titillium" w:eastAsia="Calibri" w:hAnsi="Titillium" w:cs="Arial"/>
        </w:rPr>
        <w:t xml:space="preserve"> nabave.</w:t>
      </w:r>
      <w:r w:rsidR="00053EBC">
        <w:rPr>
          <w:rFonts w:ascii="Titillium" w:eastAsia="Calibri" w:hAnsi="Titillium" w:cs="Arial"/>
        </w:rPr>
        <w:t xml:space="preserve"> </w:t>
      </w:r>
    </w:p>
    <w:p w:rsidR="003224FA" w:rsidRDefault="003224FA" w:rsidP="00677C9F">
      <w:pPr>
        <w:pStyle w:val="ListParagraph"/>
        <w:suppressAutoHyphens w:val="0"/>
        <w:ind w:left="284"/>
        <w:contextualSpacing/>
        <w:jc w:val="both"/>
        <w:rPr>
          <w:rFonts w:ascii="Titillium" w:eastAsia="Calibri" w:hAnsi="Titillium" w:cs="Arial"/>
        </w:rPr>
      </w:pPr>
    </w:p>
    <w:p w:rsidR="00053EBC" w:rsidRDefault="00053EBC" w:rsidP="00677C9F">
      <w:pPr>
        <w:pStyle w:val="ListParagraph"/>
        <w:suppressAutoHyphens w:val="0"/>
        <w:ind w:left="284"/>
        <w:contextualSpacing/>
        <w:jc w:val="both"/>
        <w:rPr>
          <w:rFonts w:ascii="Titillium" w:eastAsia="Calibri" w:hAnsi="Titillium" w:cs="Arial"/>
        </w:rPr>
      </w:pPr>
      <w:r>
        <w:rPr>
          <w:rFonts w:ascii="Titillium" w:eastAsia="Calibri" w:hAnsi="Titillium" w:cs="Arial"/>
        </w:rPr>
        <w:t xml:space="preserve">Stručnjak/stručnjaci za javnu nabavu </w:t>
      </w:r>
      <w:r w:rsidR="003224FA">
        <w:rPr>
          <w:rFonts w:ascii="Titillium" w:eastAsia="Calibri" w:hAnsi="Titillium" w:cs="Arial"/>
        </w:rPr>
        <w:t>zadužen je za savjetovanje</w:t>
      </w:r>
      <w:r>
        <w:rPr>
          <w:rFonts w:ascii="Titillium" w:eastAsia="Calibri" w:hAnsi="Titillium" w:cs="Arial"/>
        </w:rPr>
        <w:t xml:space="preserve"> Naručitelja u</w:t>
      </w:r>
      <w:r w:rsidR="003224FA">
        <w:rPr>
          <w:rFonts w:ascii="Titillium" w:eastAsia="Calibri" w:hAnsi="Titillium" w:cs="Arial"/>
        </w:rPr>
        <w:t xml:space="preserve"> postupcima</w:t>
      </w:r>
      <w:r>
        <w:rPr>
          <w:rFonts w:ascii="Titillium" w:eastAsia="Calibri" w:hAnsi="Titillium" w:cs="Arial"/>
        </w:rPr>
        <w:t xml:space="preserve"> pripreme i provedbe osam postupaka javne nabave, a  od toga je sedam postupaka nabave velike vrijednosti i jedan postupak javne nabave male vrijednosti</w:t>
      </w:r>
      <w:r w:rsidR="003224FA">
        <w:rPr>
          <w:rFonts w:ascii="Titillium" w:eastAsia="Calibri" w:hAnsi="Titillium" w:cs="Arial"/>
        </w:rPr>
        <w:t xml:space="preserve"> kako slijedi</w:t>
      </w:r>
      <w:r>
        <w:rPr>
          <w:rFonts w:ascii="Titillium" w:eastAsia="Calibri" w:hAnsi="Titillium" w:cs="Arial"/>
        </w:rPr>
        <w:t xml:space="preserve">: </w:t>
      </w:r>
    </w:p>
    <w:p w:rsidR="00053EBC" w:rsidRPr="00053EBC" w:rsidRDefault="00053EBC" w:rsidP="00053EBC">
      <w:pPr>
        <w:pStyle w:val="ListParagraph"/>
        <w:numPr>
          <w:ilvl w:val="0"/>
          <w:numId w:val="2"/>
        </w:numPr>
        <w:suppressAutoHyphens w:val="0"/>
        <w:contextualSpacing/>
        <w:jc w:val="both"/>
        <w:rPr>
          <w:rFonts w:ascii="Titillium" w:hAnsi="Titillium" w:cs="Arial"/>
        </w:rPr>
      </w:pPr>
      <w:r>
        <w:rPr>
          <w:rFonts w:ascii="Titillium" w:eastAsia="Calibri" w:hAnsi="Titillium" w:cs="Arial"/>
        </w:rPr>
        <w:t xml:space="preserve">Građevinski radovi na dogradnji i obnovi Instituta – velika vrijednost; </w:t>
      </w:r>
    </w:p>
    <w:p w:rsidR="00053EBC" w:rsidRPr="00053EBC" w:rsidRDefault="00053EBC" w:rsidP="00053EBC">
      <w:pPr>
        <w:pStyle w:val="ListParagraph"/>
        <w:numPr>
          <w:ilvl w:val="0"/>
          <w:numId w:val="2"/>
        </w:numPr>
        <w:suppressAutoHyphens w:val="0"/>
        <w:contextualSpacing/>
        <w:jc w:val="both"/>
        <w:rPr>
          <w:rFonts w:ascii="Titillium" w:hAnsi="Titillium" w:cs="Arial"/>
        </w:rPr>
      </w:pPr>
      <w:r>
        <w:rPr>
          <w:rFonts w:ascii="Titillium" w:eastAsia="Calibri" w:hAnsi="Titillium" w:cs="Arial"/>
        </w:rPr>
        <w:t xml:space="preserve">Opremanje Instituta (znanstvenoistraživačka oprema u </w:t>
      </w:r>
      <w:proofErr w:type="spellStart"/>
      <w:r>
        <w:rPr>
          <w:rFonts w:ascii="Titillium" w:eastAsia="Calibri" w:hAnsi="Titillium" w:cs="Arial"/>
        </w:rPr>
        <w:t>cca</w:t>
      </w:r>
      <w:proofErr w:type="spellEnd"/>
      <w:r>
        <w:rPr>
          <w:rFonts w:ascii="Titillium" w:eastAsia="Calibri" w:hAnsi="Titillium" w:cs="Arial"/>
        </w:rPr>
        <w:t xml:space="preserve">. 18 grupa) – velika vrijednost; </w:t>
      </w:r>
    </w:p>
    <w:p w:rsidR="00053EBC" w:rsidRPr="00053EBC" w:rsidRDefault="00053EBC" w:rsidP="00053EBC">
      <w:pPr>
        <w:pStyle w:val="ListParagraph"/>
        <w:numPr>
          <w:ilvl w:val="0"/>
          <w:numId w:val="2"/>
        </w:numPr>
        <w:suppressAutoHyphens w:val="0"/>
        <w:contextualSpacing/>
        <w:jc w:val="both"/>
        <w:rPr>
          <w:rFonts w:ascii="Titillium" w:hAnsi="Titillium" w:cs="Arial"/>
        </w:rPr>
      </w:pPr>
      <w:r>
        <w:rPr>
          <w:rFonts w:ascii="Titillium" w:eastAsia="Calibri" w:hAnsi="Titillium" w:cs="Arial"/>
        </w:rPr>
        <w:t>Preseljenje osoblja iz zgrade koja se uklanja i natrag na lokaciju – mala vrijednost;</w:t>
      </w:r>
    </w:p>
    <w:p w:rsidR="00053EBC" w:rsidRPr="00053EBC" w:rsidRDefault="00053EBC" w:rsidP="00053EBC">
      <w:pPr>
        <w:pStyle w:val="ListParagraph"/>
        <w:numPr>
          <w:ilvl w:val="0"/>
          <w:numId w:val="2"/>
        </w:numPr>
        <w:suppressAutoHyphens w:val="0"/>
        <w:contextualSpacing/>
        <w:jc w:val="both"/>
        <w:rPr>
          <w:rFonts w:ascii="Titillium" w:hAnsi="Titillium" w:cs="Arial"/>
        </w:rPr>
      </w:pPr>
      <w:r>
        <w:rPr>
          <w:rFonts w:ascii="Titillium" w:eastAsia="Calibri" w:hAnsi="Titillium" w:cs="Arial"/>
        </w:rPr>
        <w:t xml:space="preserve"> Voditelj projekta – velika vrijednost; </w:t>
      </w:r>
    </w:p>
    <w:p w:rsidR="00053EBC" w:rsidRPr="00053EBC" w:rsidRDefault="00053EBC" w:rsidP="00053EBC">
      <w:pPr>
        <w:pStyle w:val="ListParagraph"/>
        <w:numPr>
          <w:ilvl w:val="0"/>
          <w:numId w:val="2"/>
        </w:numPr>
        <w:suppressAutoHyphens w:val="0"/>
        <w:contextualSpacing/>
        <w:jc w:val="both"/>
        <w:rPr>
          <w:rFonts w:ascii="Titillium" w:hAnsi="Titillium" w:cs="Arial"/>
        </w:rPr>
      </w:pPr>
      <w:r>
        <w:rPr>
          <w:rFonts w:ascii="Titillium" w:eastAsia="Calibri" w:hAnsi="Titillium" w:cs="Arial"/>
        </w:rPr>
        <w:t xml:space="preserve">Stručni projektantski nadzor nad gradnjom (dvije grupe - Stručni nadzor i Projektantski nadzor) – velika vrijednost; </w:t>
      </w:r>
    </w:p>
    <w:p w:rsidR="00053EBC" w:rsidRPr="00053EBC" w:rsidRDefault="00053EBC" w:rsidP="00053EBC">
      <w:pPr>
        <w:pStyle w:val="ListParagraph"/>
        <w:numPr>
          <w:ilvl w:val="0"/>
          <w:numId w:val="2"/>
        </w:numPr>
        <w:suppressAutoHyphens w:val="0"/>
        <w:contextualSpacing/>
        <w:jc w:val="both"/>
        <w:rPr>
          <w:rFonts w:ascii="Titillium" w:hAnsi="Titillium" w:cs="Arial"/>
        </w:rPr>
      </w:pPr>
      <w:r>
        <w:rPr>
          <w:rFonts w:ascii="Titillium" w:eastAsia="Calibri" w:hAnsi="Titillium" w:cs="Arial"/>
        </w:rPr>
        <w:t xml:space="preserve">Digestori – velika vrijednost; </w:t>
      </w:r>
    </w:p>
    <w:p w:rsidR="003224FA" w:rsidRPr="003224FA" w:rsidRDefault="00053EBC" w:rsidP="00053EBC">
      <w:pPr>
        <w:pStyle w:val="ListParagraph"/>
        <w:numPr>
          <w:ilvl w:val="0"/>
          <w:numId w:val="2"/>
        </w:numPr>
        <w:suppressAutoHyphens w:val="0"/>
        <w:contextualSpacing/>
        <w:jc w:val="both"/>
        <w:rPr>
          <w:rFonts w:ascii="Titillium" w:hAnsi="Titillium" w:cs="Arial"/>
        </w:rPr>
      </w:pPr>
      <w:r>
        <w:rPr>
          <w:rFonts w:ascii="Titillium" w:eastAsia="Calibri" w:hAnsi="Titillium" w:cs="Arial"/>
        </w:rPr>
        <w:t xml:space="preserve">Uredski i laboratorijski namještaj (dvije grupe – Uredski namještaj i Laboratorijski namještaj) – velika vrijednost; </w:t>
      </w:r>
    </w:p>
    <w:p w:rsidR="00677C9F" w:rsidRPr="00FF6C22" w:rsidRDefault="00053EBC" w:rsidP="00053EBC">
      <w:pPr>
        <w:pStyle w:val="ListParagraph"/>
        <w:numPr>
          <w:ilvl w:val="0"/>
          <w:numId w:val="2"/>
        </w:numPr>
        <w:suppressAutoHyphens w:val="0"/>
        <w:contextualSpacing/>
        <w:jc w:val="both"/>
        <w:rPr>
          <w:rFonts w:ascii="Titillium" w:hAnsi="Titillium" w:cs="Arial"/>
        </w:rPr>
      </w:pPr>
      <w:r>
        <w:rPr>
          <w:rFonts w:ascii="Titillium" w:eastAsia="Calibri" w:hAnsi="Titillium" w:cs="Arial"/>
        </w:rPr>
        <w:t>Informatička oprema – velika vrijednost.</w:t>
      </w:r>
    </w:p>
    <w:p w:rsidR="002B35EC" w:rsidRPr="00FF6C22" w:rsidRDefault="002B35EC">
      <w:pPr>
        <w:rPr>
          <w:rFonts w:ascii="Titillium" w:hAnsi="Titillium"/>
        </w:rPr>
      </w:pPr>
    </w:p>
    <w:p w:rsidR="00677C9F" w:rsidRPr="00FF6C22" w:rsidRDefault="00677C9F" w:rsidP="00677C9F">
      <w:pPr>
        <w:pStyle w:val="Heading2"/>
        <w:jc w:val="both"/>
        <w:rPr>
          <w:rFonts w:ascii="Titillium" w:hAnsi="Titillium" w:cs="Arial"/>
        </w:rPr>
      </w:pPr>
      <w:r w:rsidRPr="00FF6C22">
        <w:rPr>
          <w:rFonts w:ascii="Titillium" w:hAnsi="Titillium" w:cs="Arial"/>
        </w:rPr>
        <w:t>Izvještavanje</w:t>
      </w:r>
    </w:p>
    <w:p w:rsidR="00677C9F" w:rsidRPr="00FF6C22" w:rsidRDefault="00677C9F" w:rsidP="00677C9F">
      <w:pPr>
        <w:ind w:left="719"/>
        <w:contextualSpacing/>
        <w:jc w:val="both"/>
        <w:rPr>
          <w:rFonts w:ascii="Titillium" w:hAnsi="Titillium" w:cs="Arial"/>
          <w:b/>
          <w:lang w:eastAsia="en-GB"/>
        </w:rPr>
      </w:pPr>
    </w:p>
    <w:p w:rsidR="00677C9F" w:rsidRPr="00FF6C22" w:rsidRDefault="00677C9F" w:rsidP="00677C9F">
      <w:pPr>
        <w:jc w:val="both"/>
        <w:rPr>
          <w:rFonts w:ascii="Titillium" w:hAnsi="Titillium" w:cs="Arial"/>
          <w:lang w:eastAsia="en-GB"/>
        </w:rPr>
      </w:pPr>
      <w:r w:rsidRPr="00FF6C22">
        <w:rPr>
          <w:rFonts w:ascii="Titillium" w:hAnsi="Titillium" w:cs="Arial"/>
          <w:lang w:eastAsia="en-GB"/>
        </w:rPr>
        <w:t xml:space="preserve">Od Pružatelja usluge zahtijeva se dostava sljedećih izvješća: </w:t>
      </w:r>
    </w:p>
    <w:p w:rsidR="00677C9F" w:rsidRDefault="00677C9F" w:rsidP="00677C9F">
      <w:pPr>
        <w:jc w:val="both"/>
        <w:rPr>
          <w:rFonts w:ascii="Titillium" w:hAnsi="Titillium" w:cs="Arial"/>
          <w:b/>
          <w:lang w:eastAsia="en-GB"/>
        </w:rPr>
      </w:pPr>
    </w:p>
    <w:p w:rsidR="003C3CA8" w:rsidRPr="003C3CA8" w:rsidRDefault="003C3CA8" w:rsidP="00677C9F">
      <w:pPr>
        <w:jc w:val="both"/>
        <w:rPr>
          <w:rFonts w:ascii="Titillium" w:hAnsi="Titillium" w:cs="Arial"/>
          <w:b/>
          <w:u w:val="single"/>
          <w:lang w:eastAsia="en-GB"/>
        </w:rPr>
      </w:pPr>
      <w:r w:rsidRPr="003C3CA8">
        <w:rPr>
          <w:rFonts w:ascii="Titillium" w:hAnsi="Titillium" w:cs="Arial"/>
          <w:b/>
          <w:u w:val="single"/>
          <w:lang w:eastAsia="en-GB"/>
        </w:rPr>
        <w:t>Početna faza</w:t>
      </w:r>
    </w:p>
    <w:p w:rsidR="00677C9F" w:rsidRPr="00FF6C22" w:rsidRDefault="00677C9F" w:rsidP="00677C9F">
      <w:pPr>
        <w:jc w:val="both"/>
        <w:rPr>
          <w:rFonts w:ascii="Titillium" w:eastAsia="Calibri" w:hAnsi="Titillium" w:cs="Arial"/>
        </w:rPr>
      </w:pPr>
      <w:r w:rsidRPr="00FF6C22">
        <w:rPr>
          <w:rFonts w:ascii="Titillium" w:eastAsia="Calibri" w:hAnsi="Titillium" w:cs="Arial"/>
        </w:rPr>
        <w:t>Početna faza, odnosno analiza zatečenog stanja tr</w:t>
      </w:r>
      <w:r w:rsidR="00942A3D" w:rsidRPr="00FF6C22">
        <w:rPr>
          <w:rFonts w:ascii="Titillium" w:eastAsia="Calibri" w:hAnsi="Titillium" w:cs="Arial"/>
        </w:rPr>
        <w:t>eb</w:t>
      </w:r>
      <w:r w:rsidR="00DA1814" w:rsidRPr="00FF6C22">
        <w:rPr>
          <w:rFonts w:ascii="Titillium" w:eastAsia="Calibri" w:hAnsi="Titillium" w:cs="Arial"/>
        </w:rPr>
        <w:t>a</w:t>
      </w:r>
      <w:r w:rsidR="003224FA">
        <w:rPr>
          <w:rFonts w:ascii="Titillium" w:eastAsia="Calibri" w:hAnsi="Titillium" w:cs="Arial"/>
        </w:rPr>
        <w:t xml:space="preserve"> se izvršiti u </w:t>
      </w:r>
      <w:r w:rsidR="003C3CA8">
        <w:rPr>
          <w:rFonts w:ascii="Titillium" w:eastAsia="Calibri" w:hAnsi="Titillium" w:cs="Arial"/>
        </w:rPr>
        <w:t xml:space="preserve"> što kraćem </w:t>
      </w:r>
      <w:r w:rsidR="003224FA">
        <w:rPr>
          <w:rFonts w:ascii="Titillium" w:eastAsia="Calibri" w:hAnsi="Titillium" w:cs="Arial"/>
        </w:rPr>
        <w:t xml:space="preserve">roku od </w:t>
      </w:r>
      <w:r w:rsidR="003C3CA8">
        <w:rPr>
          <w:rFonts w:ascii="Titillium" w:eastAsia="Calibri" w:hAnsi="Titillium" w:cs="Arial"/>
        </w:rPr>
        <w:t xml:space="preserve">sklapanja ugovora, a najkasnije u roku od </w:t>
      </w:r>
      <w:r w:rsidR="003224FA">
        <w:rPr>
          <w:rFonts w:ascii="Titillium" w:eastAsia="Calibri" w:hAnsi="Titillium" w:cs="Arial"/>
        </w:rPr>
        <w:t>sedam (7</w:t>
      </w:r>
      <w:r w:rsidR="00DA1814" w:rsidRPr="00FF6C22">
        <w:rPr>
          <w:rFonts w:ascii="Titillium" w:eastAsia="Calibri" w:hAnsi="Titillium" w:cs="Arial"/>
        </w:rPr>
        <w:t>)</w:t>
      </w:r>
      <w:r w:rsidRPr="00FF6C22">
        <w:rPr>
          <w:rFonts w:ascii="Titillium" w:eastAsia="Calibri" w:hAnsi="Titillium" w:cs="Arial"/>
        </w:rPr>
        <w:t xml:space="preserve"> dana od dana </w:t>
      </w:r>
      <w:r w:rsidR="00212399">
        <w:rPr>
          <w:rFonts w:ascii="Titillium" w:eastAsia="Calibri" w:hAnsi="Titillium" w:cs="Arial"/>
        </w:rPr>
        <w:t>sklapanja ugovora</w:t>
      </w:r>
      <w:r w:rsidRPr="00FF6C22">
        <w:rPr>
          <w:rFonts w:ascii="Titillium" w:eastAsia="Calibri" w:hAnsi="Titillium" w:cs="Arial"/>
        </w:rPr>
        <w:t>.</w:t>
      </w:r>
    </w:p>
    <w:p w:rsidR="003C3CA8" w:rsidRDefault="003C3CA8" w:rsidP="003C3CA8">
      <w:pPr>
        <w:jc w:val="both"/>
        <w:rPr>
          <w:rFonts w:ascii="Titillium" w:hAnsi="Titillium" w:cs="Arial"/>
          <w:u w:val="single"/>
          <w:lang w:eastAsia="en-GB"/>
        </w:rPr>
      </w:pPr>
    </w:p>
    <w:p w:rsidR="00677C9F" w:rsidRPr="003C3CA8" w:rsidRDefault="003C3CA8" w:rsidP="00677C9F">
      <w:pPr>
        <w:jc w:val="both"/>
        <w:rPr>
          <w:rFonts w:ascii="Titillium" w:hAnsi="Titillium" w:cs="Arial"/>
          <w:b/>
          <w:u w:val="single"/>
          <w:lang w:eastAsia="en-GB"/>
        </w:rPr>
      </w:pPr>
      <w:r w:rsidRPr="003C3CA8">
        <w:rPr>
          <w:rFonts w:ascii="Titillium" w:hAnsi="Titillium" w:cs="Arial"/>
          <w:b/>
          <w:u w:val="single"/>
          <w:lang w:eastAsia="en-GB"/>
        </w:rPr>
        <w:t xml:space="preserve">Početno izvješće </w:t>
      </w:r>
    </w:p>
    <w:p w:rsidR="00677C9F" w:rsidRPr="00FF6C22" w:rsidRDefault="00677C9F" w:rsidP="00677C9F">
      <w:pPr>
        <w:jc w:val="both"/>
        <w:rPr>
          <w:rFonts w:ascii="Titillium" w:eastAsia="Calibri" w:hAnsi="Titillium" w:cs="Arial"/>
        </w:rPr>
      </w:pPr>
      <w:r w:rsidRPr="00FF6C22">
        <w:rPr>
          <w:rFonts w:ascii="Titillium" w:eastAsia="Calibri" w:hAnsi="Titillium" w:cs="Arial"/>
        </w:rPr>
        <w:t>Početno izvješće d</w:t>
      </w:r>
      <w:r w:rsidR="003224FA">
        <w:rPr>
          <w:rFonts w:ascii="Titillium" w:eastAsia="Calibri" w:hAnsi="Titillium" w:cs="Arial"/>
        </w:rPr>
        <w:t>ostavlja se najkasnije u roku 5</w:t>
      </w:r>
      <w:r w:rsidRPr="00FF6C22">
        <w:rPr>
          <w:rFonts w:ascii="Titillium" w:eastAsia="Calibri" w:hAnsi="Titillium" w:cs="Arial"/>
        </w:rPr>
        <w:t xml:space="preserve"> dana nakon završetka provedbe Početne faze. </w:t>
      </w:r>
    </w:p>
    <w:p w:rsidR="00677C9F" w:rsidRPr="00FF6C22" w:rsidRDefault="00677C9F" w:rsidP="00677C9F">
      <w:pPr>
        <w:jc w:val="both"/>
        <w:rPr>
          <w:rFonts w:ascii="Titillium" w:eastAsia="Calibri" w:hAnsi="Titillium" w:cs="Arial"/>
        </w:rPr>
      </w:pPr>
    </w:p>
    <w:p w:rsidR="00677C9F" w:rsidRPr="00FF6C22" w:rsidRDefault="00AE62AB" w:rsidP="00677C9F">
      <w:pPr>
        <w:jc w:val="both"/>
        <w:rPr>
          <w:rFonts w:ascii="Titillium" w:eastAsia="Calibri" w:hAnsi="Titillium" w:cs="Arial"/>
        </w:rPr>
      </w:pPr>
      <w:r>
        <w:rPr>
          <w:rFonts w:ascii="Titillium" w:eastAsia="Calibri" w:hAnsi="Titillium" w:cs="Arial"/>
        </w:rPr>
        <w:t xml:space="preserve">Početno izvješće treba </w:t>
      </w:r>
      <w:r w:rsidR="00677C9F" w:rsidRPr="00FF6C22">
        <w:rPr>
          <w:rFonts w:ascii="Titillium" w:eastAsia="Calibri" w:hAnsi="Titillium" w:cs="Arial"/>
        </w:rPr>
        <w:t xml:space="preserve"> sadržavati početnu analizu stanja i prijedlog okvirnog plana rada za razdoblje provedbe ugovora te prijedlog detaljnog plana rada (uključujući prijedlog potrebnih </w:t>
      </w:r>
      <w:r w:rsidR="00942A3D" w:rsidRPr="00FF6C22">
        <w:rPr>
          <w:rFonts w:ascii="Titillium" w:eastAsia="Calibri" w:hAnsi="Titillium" w:cs="Arial"/>
        </w:rPr>
        <w:t xml:space="preserve"> </w:t>
      </w:r>
      <w:r w:rsidR="00677C9F" w:rsidRPr="00FF6C22">
        <w:rPr>
          <w:rFonts w:ascii="Titillium" w:eastAsia="Calibri" w:hAnsi="Titillium" w:cs="Arial"/>
        </w:rPr>
        <w:t>stručnjaka) za sljedeća tri mjeseca provedbe ugovora. Naručitelj je dužan izvješće pregledati i odobriti ili dostaviti komentare  u roku od sedam (7) dana od zaprimanja izvješća. U slučaju eventualnih komentara Naručitelja, Pružatelj usluga dužan je dostaviti revidiranu verziju u roku pet (5) dana od zaprimanja komentara. Po pregledu revidiranog izvješća Nar</w:t>
      </w:r>
      <w:r w:rsidR="003C3CA8">
        <w:rPr>
          <w:rFonts w:ascii="Titillium" w:eastAsia="Calibri" w:hAnsi="Titillium" w:cs="Arial"/>
        </w:rPr>
        <w:t>učitelj je dužan u roku od pet (5</w:t>
      </w:r>
      <w:r w:rsidR="00677C9F" w:rsidRPr="00FF6C22">
        <w:rPr>
          <w:rFonts w:ascii="Titillium" w:eastAsia="Calibri" w:hAnsi="Titillium" w:cs="Arial"/>
        </w:rPr>
        <w:t>) dana dostaviti odobrenje izvješća ili eventualne dodatne komentare. Odobrenje izvješća mora biti u pisanom obliku.</w:t>
      </w:r>
    </w:p>
    <w:p w:rsidR="00677C9F" w:rsidRPr="00FF6C22" w:rsidRDefault="00677C9F" w:rsidP="00677C9F">
      <w:pPr>
        <w:jc w:val="both"/>
        <w:rPr>
          <w:rFonts w:ascii="Titillium" w:eastAsia="Calibri" w:hAnsi="Titillium" w:cs="Arial"/>
        </w:rPr>
      </w:pPr>
    </w:p>
    <w:p w:rsidR="00677C9F" w:rsidRPr="009B08ED" w:rsidRDefault="00677C9F" w:rsidP="00677C9F">
      <w:pPr>
        <w:suppressAutoHyphens w:val="0"/>
        <w:contextualSpacing/>
        <w:jc w:val="both"/>
        <w:rPr>
          <w:rFonts w:ascii="Titillium" w:hAnsi="Titillium" w:cs="Arial"/>
          <w:b/>
          <w:u w:val="single"/>
          <w:lang w:eastAsia="en-GB"/>
        </w:rPr>
      </w:pPr>
      <w:r w:rsidRPr="009B08ED">
        <w:rPr>
          <w:rFonts w:ascii="Titillium" w:hAnsi="Titillium" w:cs="Arial"/>
          <w:b/>
          <w:u w:val="single"/>
          <w:lang w:eastAsia="en-GB"/>
        </w:rPr>
        <w:t>Tromjesečna izvješća</w:t>
      </w:r>
    </w:p>
    <w:p w:rsidR="00677C9F" w:rsidRPr="00FF6C22" w:rsidRDefault="00677C9F" w:rsidP="00677C9F">
      <w:pPr>
        <w:ind w:left="719"/>
        <w:contextualSpacing/>
        <w:jc w:val="both"/>
        <w:rPr>
          <w:rFonts w:ascii="Titillium" w:hAnsi="Titillium" w:cs="Arial"/>
          <w:b/>
          <w:lang w:eastAsia="en-GB"/>
        </w:rPr>
      </w:pPr>
    </w:p>
    <w:p w:rsidR="00F17977" w:rsidRDefault="00677C9F" w:rsidP="00677C9F">
      <w:pPr>
        <w:jc w:val="both"/>
        <w:rPr>
          <w:rFonts w:ascii="Titillium" w:eastAsia="Calibri" w:hAnsi="Titillium" w:cs="Arial"/>
        </w:rPr>
      </w:pPr>
      <w:r w:rsidRPr="00FF6C22">
        <w:rPr>
          <w:rFonts w:ascii="Titillium" w:eastAsia="Calibri" w:hAnsi="Titillium" w:cs="Arial"/>
        </w:rPr>
        <w:t>Dos</w:t>
      </w:r>
      <w:r w:rsidR="009B08ED">
        <w:rPr>
          <w:rFonts w:ascii="Titillium" w:eastAsia="Calibri" w:hAnsi="Titillium" w:cs="Arial"/>
        </w:rPr>
        <w:t>tavljaju se najkasnije u roku 10</w:t>
      </w:r>
      <w:r w:rsidRPr="00FF6C22">
        <w:rPr>
          <w:rFonts w:ascii="Titillium" w:eastAsia="Calibri" w:hAnsi="Titillium" w:cs="Arial"/>
        </w:rPr>
        <w:t xml:space="preserve"> dana nakon završetka tromjesečnog izvještajnog razdoblja koje obuhvaća. </w:t>
      </w:r>
    </w:p>
    <w:p w:rsidR="00677C9F" w:rsidRPr="00FF6C22" w:rsidRDefault="00677C9F" w:rsidP="00677C9F">
      <w:pPr>
        <w:jc w:val="both"/>
        <w:rPr>
          <w:rFonts w:ascii="Titillium" w:hAnsi="Titillium" w:cs="Arial"/>
          <w:lang w:eastAsia="en-GB"/>
        </w:rPr>
      </w:pPr>
      <w:r w:rsidRPr="00FF6C22">
        <w:rPr>
          <w:rFonts w:ascii="Titillium" w:eastAsia="Calibri" w:hAnsi="Titillium" w:cs="Arial"/>
        </w:rPr>
        <w:t xml:space="preserve">Prvo tromjesečno izvješće broji se od prvog sljedećeg mjeseca nakon završetka Početne faze koja je obuhvaćena Početnim izvješćem. Trebaju sadržavati analizu izvršenih aktivnosti u prethodnom razdoblju u odnosu na plan i prijedlog okvirnog plana rada za preostalo razdoblje provedbe ugovora te prijedlog detaljnog plana rada za sljedeća tri mjeseca provedbe ugovora. </w:t>
      </w:r>
      <w:r w:rsidRPr="00FF6C22">
        <w:rPr>
          <w:rFonts w:ascii="Titillium" w:hAnsi="Titillium" w:cs="Arial"/>
          <w:lang w:eastAsia="en-GB"/>
        </w:rPr>
        <w:t>Naručitelj je dužan izvješće pregledati i odobriti ili dostaviti komentare  u roku od sedam (7) dana od zaprimanja izvješća. U slučaju eventualnih komentara Naručitelja, Pružatelj usluga dužan je dostaviti revidiranu verziju u roku pet (5) dana od zaprimanja komentara. Po pregledu revidiranog izvješća Nar</w:t>
      </w:r>
      <w:r w:rsidR="009B08ED">
        <w:rPr>
          <w:rFonts w:ascii="Titillium" w:hAnsi="Titillium" w:cs="Arial"/>
          <w:lang w:eastAsia="en-GB"/>
        </w:rPr>
        <w:t>učitelj je dužan u roku od pet (5</w:t>
      </w:r>
      <w:r w:rsidRPr="00FF6C22">
        <w:rPr>
          <w:rFonts w:ascii="Titillium" w:hAnsi="Titillium" w:cs="Arial"/>
          <w:lang w:eastAsia="en-GB"/>
        </w:rPr>
        <w:t>) dana dostaviti odobrenje izvješća ili eventualne dodatne komentare. Odobrenje izvješća mora biti u pisanom obliku.</w:t>
      </w:r>
    </w:p>
    <w:p w:rsidR="00677C9F" w:rsidRPr="00FF6C22" w:rsidRDefault="00677C9F" w:rsidP="00677C9F">
      <w:pPr>
        <w:jc w:val="both"/>
        <w:rPr>
          <w:rFonts w:ascii="Titillium" w:eastAsia="Calibri" w:hAnsi="Titillium" w:cs="Arial"/>
        </w:rPr>
      </w:pPr>
    </w:p>
    <w:p w:rsidR="00677C9F" w:rsidRPr="009B08ED" w:rsidRDefault="00677C9F" w:rsidP="00677C9F">
      <w:pPr>
        <w:suppressAutoHyphens w:val="0"/>
        <w:contextualSpacing/>
        <w:jc w:val="both"/>
        <w:rPr>
          <w:rFonts w:ascii="Titillium" w:hAnsi="Titillium" w:cs="Arial"/>
          <w:b/>
          <w:u w:val="single"/>
          <w:lang w:eastAsia="en-GB"/>
        </w:rPr>
      </w:pPr>
      <w:r w:rsidRPr="009B08ED">
        <w:rPr>
          <w:rFonts w:ascii="Titillium" w:hAnsi="Titillium" w:cs="Arial"/>
          <w:b/>
          <w:u w:val="single"/>
          <w:lang w:eastAsia="en-GB"/>
        </w:rPr>
        <w:t>Završno izvješće</w:t>
      </w:r>
    </w:p>
    <w:p w:rsidR="00677C9F" w:rsidRPr="00FF6C22" w:rsidRDefault="00677C9F" w:rsidP="00677C9F">
      <w:pPr>
        <w:ind w:left="719"/>
        <w:contextualSpacing/>
        <w:jc w:val="both"/>
        <w:rPr>
          <w:rFonts w:ascii="Titillium" w:hAnsi="Titillium" w:cs="Arial"/>
          <w:b/>
          <w:lang w:eastAsia="en-GB"/>
        </w:rPr>
      </w:pPr>
    </w:p>
    <w:p w:rsidR="00677C9F" w:rsidRPr="00FF6C22" w:rsidRDefault="00677C9F" w:rsidP="00677C9F">
      <w:pPr>
        <w:jc w:val="both"/>
        <w:rPr>
          <w:rFonts w:ascii="Titillium" w:eastAsia="Calibri" w:hAnsi="Titillium" w:cs="Arial"/>
        </w:rPr>
      </w:pPr>
      <w:r w:rsidRPr="00FF6C22">
        <w:rPr>
          <w:rFonts w:ascii="Titillium" w:eastAsia="Calibri" w:hAnsi="Titillium" w:cs="Arial"/>
        </w:rPr>
        <w:t>Nacrt Završnog izvješća dostavlja se najkasnije 30 dana prije završetka provedbe ugovora. Treba sadržavati analizu svih izvršenih aktivnosti u razdoblju nakon zadnjeg tromjesečnog izvještaja te analizu ukupne provedbe ugovora i eventualne preporuke. Naručitelj je dužan izvješće pregledati i odobriti ili dost</w:t>
      </w:r>
      <w:r w:rsidR="000C630A">
        <w:rPr>
          <w:rFonts w:ascii="Titillium" w:eastAsia="Calibri" w:hAnsi="Titillium" w:cs="Arial"/>
        </w:rPr>
        <w:t>aviti komentare  u roku od osam</w:t>
      </w:r>
      <w:r w:rsidRPr="00FF6C22">
        <w:rPr>
          <w:rFonts w:ascii="Titillium" w:eastAsia="Calibri" w:hAnsi="Titillium" w:cs="Arial"/>
        </w:rPr>
        <w:t xml:space="preserve"> (7) dana od zaprimanja izvješća. U slučaju eventualnih komentara Naručitelja, Pružatelj usluga dužan je dostaviti revidiranu verziju u roku pet (5) dana od zaprimanja komentara. Po pregledu revidiranog izvješća N</w:t>
      </w:r>
      <w:r w:rsidR="009B08ED">
        <w:rPr>
          <w:rFonts w:ascii="Titillium" w:eastAsia="Calibri" w:hAnsi="Titillium" w:cs="Arial"/>
        </w:rPr>
        <w:t>aručitelj je dužan u roku od pet (5</w:t>
      </w:r>
      <w:r w:rsidRPr="00FF6C22">
        <w:rPr>
          <w:rFonts w:ascii="Titillium" w:eastAsia="Calibri" w:hAnsi="Titillium" w:cs="Arial"/>
        </w:rPr>
        <w:t>) dana dostaviti odobrenje izvješća ili eventualne dodatne komentare. Odobrenje izvješća mora biti u pisanom obliku.</w:t>
      </w:r>
    </w:p>
    <w:p w:rsidR="00677C9F" w:rsidRPr="00FF6C22" w:rsidRDefault="00677C9F" w:rsidP="00677C9F">
      <w:pPr>
        <w:pStyle w:val="Heading2"/>
        <w:jc w:val="both"/>
        <w:rPr>
          <w:rFonts w:ascii="Titillium" w:hAnsi="Titillium" w:cs="Arial"/>
        </w:rPr>
      </w:pPr>
    </w:p>
    <w:p w:rsidR="00677C9F" w:rsidRPr="00FF6C22" w:rsidRDefault="00677C9F" w:rsidP="00677C9F">
      <w:pPr>
        <w:pStyle w:val="Heading2"/>
        <w:jc w:val="both"/>
        <w:rPr>
          <w:rFonts w:ascii="Titillium" w:hAnsi="Titillium" w:cs="Arial"/>
        </w:rPr>
      </w:pPr>
      <w:r w:rsidRPr="00FF6C22">
        <w:rPr>
          <w:rFonts w:ascii="Titillium" w:hAnsi="Titillium" w:cs="Arial"/>
        </w:rPr>
        <w:t>Način plaćanja</w:t>
      </w:r>
    </w:p>
    <w:p w:rsidR="00677C9F" w:rsidRPr="00FF6C22" w:rsidRDefault="00677C9F" w:rsidP="00677C9F">
      <w:pPr>
        <w:rPr>
          <w:rFonts w:ascii="Titillium" w:hAnsi="Titillium"/>
        </w:rPr>
      </w:pPr>
    </w:p>
    <w:p w:rsidR="00677C9F" w:rsidRPr="00FF6C22" w:rsidRDefault="00677C9F" w:rsidP="00677C9F">
      <w:pPr>
        <w:pStyle w:val="BodyText"/>
        <w:ind w:right="-9"/>
        <w:rPr>
          <w:rFonts w:ascii="Titillium" w:hAnsi="Titillium" w:cs="Arial"/>
          <w:bCs w:val="0"/>
          <w:spacing w:val="2"/>
        </w:rPr>
      </w:pPr>
      <w:r w:rsidRPr="00FF6C22">
        <w:rPr>
          <w:rFonts w:ascii="Titillium" w:hAnsi="Titillium" w:cs="Arial"/>
        </w:rPr>
        <w:t xml:space="preserve">Plaćanje se vrši putem računa koje Ponuditelj dostavlja Naručitelju, </w:t>
      </w:r>
      <w:r w:rsidRPr="00FF6C22">
        <w:rPr>
          <w:rFonts w:ascii="Titillium" w:hAnsi="Titillium" w:cs="Arial"/>
          <w:bCs w:val="0"/>
          <w:spacing w:val="2"/>
        </w:rPr>
        <w:t>temeljem  sklopljenog  ugovora  o  javnoj  na</w:t>
      </w:r>
      <w:r w:rsidR="00212399">
        <w:rPr>
          <w:rFonts w:ascii="Titillium" w:hAnsi="Titillium" w:cs="Arial"/>
          <w:bCs w:val="0"/>
          <w:spacing w:val="2"/>
        </w:rPr>
        <w:t>bavi, najkasnije  u  roku  od  3</w:t>
      </w:r>
      <w:r w:rsidRPr="00FF6C22">
        <w:rPr>
          <w:rFonts w:ascii="Titillium" w:hAnsi="Titillium" w:cs="Arial"/>
          <w:bCs w:val="0"/>
          <w:spacing w:val="2"/>
        </w:rPr>
        <w:t>0  dana  po  primitku računa na račun odabranog ponuditelja.</w:t>
      </w:r>
    </w:p>
    <w:p w:rsidR="00677C9F" w:rsidRPr="00FF6C22" w:rsidRDefault="00677C9F" w:rsidP="00677C9F">
      <w:pPr>
        <w:spacing w:after="160" w:line="259" w:lineRule="auto"/>
        <w:contextualSpacing/>
        <w:jc w:val="both"/>
        <w:rPr>
          <w:rFonts w:ascii="Titillium" w:hAnsi="Titillium" w:cs="Arial"/>
        </w:rPr>
      </w:pPr>
    </w:p>
    <w:p w:rsidR="00677C9F" w:rsidRPr="00FF6C22" w:rsidRDefault="00677C9F" w:rsidP="00677C9F">
      <w:pPr>
        <w:spacing w:after="160" w:line="259" w:lineRule="auto"/>
        <w:contextualSpacing/>
        <w:jc w:val="both"/>
        <w:rPr>
          <w:rFonts w:ascii="Titillium" w:hAnsi="Titillium" w:cs="Arial"/>
        </w:rPr>
      </w:pPr>
      <w:r w:rsidRPr="00FF6C22">
        <w:rPr>
          <w:rFonts w:ascii="Titillium" w:hAnsi="Titillium" w:cs="Arial"/>
        </w:rPr>
        <w:t>Plaćanje Pružatelj</w:t>
      </w:r>
      <w:r w:rsidR="00212399">
        <w:rPr>
          <w:rFonts w:ascii="Titillium" w:hAnsi="Titillium" w:cs="Arial"/>
        </w:rPr>
        <w:t>u usluge vršit će se po završetku svakog pojedinačnog postupka javne nabave koj</w:t>
      </w:r>
      <w:r w:rsidR="00F32381">
        <w:rPr>
          <w:rFonts w:ascii="Titillium" w:hAnsi="Titillium" w:cs="Arial"/>
        </w:rPr>
        <w:t>e je rezultiralo izvršnošću odluke o odabiru u osam rata</w:t>
      </w:r>
      <w:r w:rsidRPr="00FF6C22">
        <w:rPr>
          <w:rFonts w:ascii="Titillium" w:hAnsi="Titillium" w:cs="Arial"/>
        </w:rPr>
        <w:t xml:space="preserve">. Razdoblje prvog tromjesečja </w:t>
      </w:r>
      <w:r w:rsidRPr="00FF6C22">
        <w:rPr>
          <w:rFonts w:ascii="Titillium" w:eastAsia="Calibri" w:hAnsi="Titillium" w:cs="Arial"/>
        </w:rPr>
        <w:t>počinje teći nakon završetka provedbe Početne faze.</w:t>
      </w:r>
    </w:p>
    <w:p w:rsidR="00677C9F" w:rsidRPr="00FF6C22" w:rsidRDefault="00677C9F" w:rsidP="00677C9F">
      <w:pPr>
        <w:spacing w:after="160" w:line="259" w:lineRule="auto"/>
        <w:contextualSpacing/>
        <w:rPr>
          <w:rFonts w:ascii="Titillium" w:eastAsia="Calibri" w:hAnsi="Titillium" w:cs="Arial"/>
          <w:lang w:eastAsia="en-US"/>
        </w:rPr>
      </w:pPr>
    </w:p>
    <w:p w:rsidR="00677C9F" w:rsidRPr="00FF6C22" w:rsidRDefault="00677C9F" w:rsidP="00677C9F">
      <w:pPr>
        <w:spacing w:after="160" w:line="259" w:lineRule="auto"/>
        <w:contextualSpacing/>
        <w:jc w:val="both"/>
        <w:rPr>
          <w:rFonts w:ascii="Titillium" w:eastAsia="Calibri" w:hAnsi="Titillium" w:cs="Arial"/>
          <w:lang w:eastAsia="en-US"/>
        </w:rPr>
      </w:pPr>
      <w:r w:rsidRPr="00FF6C22">
        <w:rPr>
          <w:rFonts w:ascii="Titillium" w:eastAsia="Calibri" w:hAnsi="Titillium" w:cs="Arial"/>
          <w:lang w:eastAsia="en-US"/>
        </w:rPr>
        <w:t>Pružatelj usluge dužan je uz račun priložiti izvješće o radu</w:t>
      </w:r>
      <w:r w:rsidR="000C630A">
        <w:rPr>
          <w:rFonts w:ascii="Titillium" w:eastAsia="Calibri" w:hAnsi="Titillium" w:cs="Arial"/>
          <w:lang w:eastAsia="en-US"/>
        </w:rPr>
        <w:t xml:space="preserve"> – o pripremi i provedbi pruženih usluga savjetovanja u svakom pojedinačnom postupku javne nabave</w:t>
      </w:r>
      <w:r w:rsidRPr="00FF6C22">
        <w:rPr>
          <w:rFonts w:ascii="Titillium" w:eastAsia="Calibri" w:hAnsi="Titillium" w:cs="Arial"/>
          <w:lang w:eastAsia="en-US"/>
        </w:rPr>
        <w:t xml:space="preserve">, koje predstavlja osnovu za plaćanje, </w:t>
      </w:r>
      <w:r w:rsidR="000C630A">
        <w:rPr>
          <w:rFonts w:ascii="Titillium" w:eastAsia="Calibri" w:hAnsi="Titillium" w:cs="Arial"/>
          <w:lang w:eastAsia="en-US"/>
        </w:rPr>
        <w:t xml:space="preserve">a koje mora biti </w:t>
      </w:r>
      <w:r w:rsidRPr="00FF6C22">
        <w:rPr>
          <w:rFonts w:ascii="Titillium" w:eastAsia="Calibri" w:hAnsi="Titillium" w:cs="Arial"/>
          <w:lang w:eastAsia="en-US"/>
        </w:rPr>
        <w:t xml:space="preserve">odobreno od strane ovlaštene osobe Naručitelja za praćenje realizacije ugovora i na zahtjev Naručitelja priložiti dodatne dokaze o pruženim uslugama. </w:t>
      </w:r>
    </w:p>
    <w:p w:rsidR="00677C9F" w:rsidRPr="00FF6C22" w:rsidRDefault="00677C9F">
      <w:pPr>
        <w:rPr>
          <w:rFonts w:ascii="Titillium" w:hAnsi="Titillium"/>
        </w:rPr>
      </w:pPr>
    </w:p>
    <w:sectPr w:rsidR="00677C9F" w:rsidRPr="00FF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051B"/>
    <w:multiLevelType w:val="hybridMultilevel"/>
    <w:tmpl w:val="95BCB45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33314"/>
    <w:multiLevelType w:val="hybridMultilevel"/>
    <w:tmpl w:val="DAE28C56"/>
    <w:lvl w:ilvl="0" w:tplc="EBF002AC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B3A0017"/>
    <w:multiLevelType w:val="multilevel"/>
    <w:tmpl w:val="4CE8DC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9F"/>
    <w:rsid w:val="00053EBC"/>
    <w:rsid w:val="000C630A"/>
    <w:rsid w:val="001311FA"/>
    <w:rsid w:val="001A1272"/>
    <w:rsid w:val="00212399"/>
    <w:rsid w:val="002B35EC"/>
    <w:rsid w:val="002B6338"/>
    <w:rsid w:val="003224FA"/>
    <w:rsid w:val="003B6CB4"/>
    <w:rsid w:val="003C3CA8"/>
    <w:rsid w:val="00426878"/>
    <w:rsid w:val="00455930"/>
    <w:rsid w:val="004C16D2"/>
    <w:rsid w:val="00677C9F"/>
    <w:rsid w:val="00812296"/>
    <w:rsid w:val="00814462"/>
    <w:rsid w:val="0087285B"/>
    <w:rsid w:val="00910BED"/>
    <w:rsid w:val="00942A3D"/>
    <w:rsid w:val="00977724"/>
    <w:rsid w:val="009B08ED"/>
    <w:rsid w:val="009D783E"/>
    <w:rsid w:val="009F1EFB"/>
    <w:rsid w:val="00AE62AB"/>
    <w:rsid w:val="00AE7900"/>
    <w:rsid w:val="00BC0690"/>
    <w:rsid w:val="00C25CA0"/>
    <w:rsid w:val="00C91C28"/>
    <w:rsid w:val="00CC0BAB"/>
    <w:rsid w:val="00CE7659"/>
    <w:rsid w:val="00D03064"/>
    <w:rsid w:val="00DA1814"/>
    <w:rsid w:val="00DC2F6C"/>
    <w:rsid w:val="00E24C86"/>
    <w:rsid w:val="00EB0A6C"/>
    <w:rsid w:val="00F17977"/>
    <w:rsid w:val="00F32381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77C9F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2,Ha"/>
    <w:basedOn w:val="Normal"/>
    <w:link w:val="ListParagraphChar"/>
    <w:uiPriority w:val="34"/>
    <w:qFormat/>
    <w:rsid w:val="00677C9F"/>
    <w:pPr>
      <w:ind w:left="708"/>
    </w:p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,2 Char,Ha Char"/>
    <w:link w:val="ListParagraph"/>
    <w:uiPriority w:val="34"/>
    <w:qFormat/>
    <w:rsid w:val="00677C9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677C9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677C9F"/>
    <w:pPr>
      <w:jc w:val="both"/>
    </w:pPr>
    <w:rPr>
      <w:bCs/>
    </w:rPr>
  </w:style>
  <w:style w:type="character" w:customStyle="1" w:styleId="BodyTextChar">
    <w:name w:val="Body Text Char"/>
    <w:basedOn w:val="DefaultParagraphFont"/>
    <w:link w:val="BodyText"/>
    <w:rsid w:val="00677C9F"/>
    <w:rPr>
      <w:rFonts w:ascii="Times New Roman" w:eastAsia="Times New Roman" w:hAnsi="Times New Roman" w:cs="Times New Roman"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72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8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85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85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5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77C9F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2,Ha"/>
    <w:basedOn w:val="Normal"/>
    <w:link w:val="ListParagraphChar"/>
    <w:uiPriority w:val="34"/>
    <w:qFormat/>
    <w:rsid w:val="00677C9F"/>
    <w:pPr>
      <w:ind w:left="708"/>
    </w:p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,2 Char,Ha Char"/>
    <w:link w:val="ListParagraph"/>
    <w:uiPriority w:val="34"/>
    <w:qFormat/>
    <w:rsid w:val="00677C9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677C9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677C9F"/>
    <w:pPr>
      <w:jc w:val="both"/>
    </w:pPr>
    <w:rPr>
      <w:bCs/>
    </w:rPr>
  </w:style>
  <w:style w:type="character" w:customStyle="1" w:styleId="BodyTextChar">
    <w:name w:val="Body Text Char"/>
    <w:basedOn w:val="DefaultParagraphFont"/>
    <w:link w:val="BodyText"/>
    <w:rsid w:val="00677C9F"/>
    <w:rPr>
      <w:rFonts w:ascii="Times New Roman" w:eastAsia="Times New Roman" w:hAnsi="Times New Roman" w:cs="Times New Roman"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72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8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85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85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5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1309</Words>
  <Characters>7467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    Predmet nabave: Usluga savjetovanja pri provođenju postupaka javne nabave</vt:lpstr>
      <vt:lpstr>    </vt:lpstr>
      <vt:lpstr>    O Institutu za medicinska istraživanja i medicinu rada (dalje u tekstu IMI) </vt:lpstr>
      <vt:lpstr>    Projekt „Istraživačko-edukacijski centar za zdravstvenu i medicinsku ekologiju i</vt:lpstr>
      <vt:lpstr>    </vt:lpstr>
      <vt:lpstr>    Ključne isporuke pružatelja usluge</vt:lpstr>
      <vt:lpstr>    U nastavku je prikazana indikativna struktura ključnih isporuka usluga savjetova</vt:lpstr>
      <vt:lpstr>    Izvještavanje</vt:lpstr>
      <vt:lpstr>    </vt:lpstr>
      <vt:lpstr>    Način plaćanja</vt:lpstr>
    </vt:vector>
  </TitlesOfParts>
  <Company>IMI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Spomenka Stankić Drobnjak</dc:creator>
  <cp:lastModifiedBy>Spomenka Stankić Drobnjak</cp:lastModifiedBy>
  <cp:revision>7</cp:revision>
  <dcterms:created xsi:type="dcterms:W3CDTF">2018-07-06T13:29:00Z</dcterms:created>
  <dcterms:modified xsi:type="dcterms:W3CDTF">2018-07-26T11:47:00Z</dcterms:modified>
</cp:coreProperties>
</file>