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7F27D" w14:textId="77777777" w:rsidR="008B387C" w:rsidRDefault="008B387C" w:rsidP="008B387C">
      <w:pPr>
        <w:spacing w:after="0" w:line="240" w:lineRule="auto"/>
        <w:rPr>
          <w:rFonts w:ascii="Titillium" w:eastAsia="Times New Roman" w:hAnsi="Titillium"/>
          <w:sz w:val="24"/>
          <w:szCs w:val="24"/>
          <w:lang w:eastAsia="hr-HR"/>
        </w:rPr>
      </w:pPr>
    </w:p>
    <w:p w14:paraId="2E1E97D4" w14:textId="789E523F" w:rsidR="008B387C" w:rsidRPr="00576598" w:rsidRDefault="008B387C" w:rsidP="008B387C">
      <w:pPr>
        <w:spacing w:after="0" w:line="240" w:lineRule="auto"/>
        <w:rPr>
          <w:rFonts w:ascii="Titillium" w:eastAsia="Times New Roman" w:hAnsi="Titillium"/>
          <w:sz w:val="20"/>
          <w:szCs w:val="20"/>
          <w:lang w:eastAsia="hr-HR"/>
        </w:rPr>
      </w:pPr>
      <w:r w:rsidRPr="00576598">
        <w:rPr>
          <w:rFonts w:ascii="Titillium" w:eastAsia="Times New Roman" w:hAnsi="Titillium"/>
          <w:sz w:val="20"/>
          <w:szCs w:val="20"/>
          <w:lang w:eastAsia="hr-HR"/>
        </w:rPr>
        <w:t xml:space="preserve">Klasa: </w:t>
      </w:r>
      <w:r w:rsidR="002D5D56" w:rsidRPr="00576598">
        <w:rPr>
          <w:rFonts w:ascii="Titillium" w:eastAsia="Times New Roman" w:hAnsi="Titillium"/>
          <w:sz w:val="20"/>
          <w:szCs w:val="20"/>
          <w:lang w:eastAsia="hr-HR"/>
        </w:rPr>
        <w:t>04-45/18-04-5/</w:t>
      </w:r>
      <w:r w:rsidR="00576598">
        <w:rPr>
          <w:rFonts w:ascii="Titillium" w:eastAsia="Times New Roman" w:hAnsi="Titillium"/>
          <w:sz w:val="20"/>
          <w:szCs w:val="20"/>
          <w:lang w:eastAsia="hr-HR"/>
        </w:rPr>
        <w:t>4</w:t>
      </w:r>
    </w:p>
    <w:p w14:paraId="66B36180" w14:textId="6CC63C83" w:rsidR="008B387C" w:rsidRPr="00576598" w:rsidRDefault="008B387C" w:rsidP="008B387C">
      <w:pPr>
        <w:spacing w:after="0" w:line="240" w:lineRule="auto"/>
        <w:rPr>
          <w:rFonts w:ascii="Titillium" w:eastAsia="Times New Roman" w:hAnsi="Titillium"/>
          <w:sz w:val="20"/>
          <w:szCs w:val="20"/>
          <w:lang w:eastAsia="hr-HR"/>
        </w:rPr>
      </w:pPr>
      <w:proofErr w:type="spellStart"/>
      <w:r w:rsidRPr="00576598">
        <w:rPr>
          <w:rFonts w:ascii="Titillium" w:eastAsia="Times New Roman" w:hAnsi="Titillium"/>
          <w:sz w:val="20"/>
          <w:szCs w:val="20"/>
          <w:lang w:eastAsia="hr-HR"/>
        </w:rPr>
        <w:t>Ur.broj</w:t>
      </w:r>
      <w:proofErr w:type="spellEnd"/>
      <w:r w:rsidRPr="00576598">
        <w:rPr>
          <w:rFonts w:ascii="Titillium" w:eastAsia="Times New Roman" w:hAnsi="Titillium"/>
          <w:sz w:val="20"/>
          <w:szCs w:val="20"/>
          <w:lang w:eastAsia="hr-HR"/>
        </w:rPr>
        <w:t xml:space="preserve">: </w:t>
      </w:r>
      <w:r w:rsidR="002D5D56" w:rsidRPr="00576598">
        <w:rPr>
          <w:rFonts w:ascii="Titillium" w:eastAsia="Times New Roman" w:hAnsi="Titillium"/>
          <w:sz w:val="20"/>
          <w:szCs w:val="20"/>
          <w:lang w:eastAsia="hr-HR"/>
        </w:rPr>
        <w:t>100-02/18-</w:t>
      </w:r>
      <w:r w:rsidR="00576598">
        <w:rPr>
          <w:rFonts w:ascii="Titillium" w:eastAsia="Times New Roman" w:hAnsi="Titillium"/>
          <w:sz w:val="20"/>
          <w:szCs w:val="20"/>
          <w:lang w:eastAsia="hr-HR"/>
        </w:rPr>
        <w:t>2</w:t>
      </w:r>
    </w:p>
    <w:p w14:paraId="0AB06244" w14:textId="4F8188AC" w:rsidR="008B387C" w:rsidRPr="006F7576" w:rsidRDefault="008B387C" w:rsidP="008B387C">
      <w:pPr>
        <w:spacing w:after="0" w:line="240" w:lineRule="auto"/>
        <w:rPr>
          <w:rFonts w:ascii="Titillium" w:eastAsia="Times New Roman" w:hAnsi="Titillium"/>
          <w:sz w:val="20"/>
          <w:szCs w:val="20"/>
          <w:lang w:eastAsia="hr-HR"/>
        </w:rPr>
      </w:pPr>
      <w:r w:rsidRPr="00576598">
        <w:rPr>
          <w:rFonts w:ascii="Titillium" w:eastAsia="Times New Roman" w:hAnsi="Titillium"/>
          <w:sz w:val="20"/>
          <w:szCs w:val="20"/>
          <w:lang w:eastAsia="hr-HR"/>
        </w:rPr>
        <w:t xml:space="preserve">Zagreb, </w:t>
      </w:r>
      <w:r w:rsidR="00576598">
        <w:rPr>
          <w:rFonts w:ascii="Titillium" w:eastAsia="Times New Roman" w:hAnsi="Titillium"/>
          <w:sz w:val="20"/>
          <w:szCs w:val="20"/>
          <w:lang w:eastAsia="hr-HR"/>
        </w:rPr>
        <w:t xml:space="preserve">26. srpnja </w:t>
      </w:r>
      <w:r w:rsidRPr="00576598">
        <w:rPr>
          <w:rFonts w:ascii="Titillium" w:eastAsia="Times New Roman" w:hAnsi="Titillium"/>
          <w:sz w:val="20"/>
          <w:szCs w:val="20"/>
          <w:lang w:eastAsia="hr-HR"/>
        </w:rPr>
        <w:t>2018.</w:t>
      </w:r>
    </w:p>
    <w:p w14:paraId="2BB67A5C" w14:textId="77777777" w:rsidR="008B387C" w:rsidRPr="008B387C" w:rsidRDefault="008B387C" w:rsidP="008B387C">
      <w:pPr>
        <w:spacing w:after="0" w:line="240" w:lineRule="auto"/>
        <w:jc w:val="both"/>
        <w:rPr>
          <w:rFonts w:ascii="Titillium" w:hAnsi="Titillium"/>
          <w:sz w:val="20"/>
          <w:szCs w:val="20"/>
          <w:highlight w:val="yellow"/>
        </w:rPr>
      </w:pPr>
    </w:p>
    <w:p w14:paraId="1280E2FB" w14:textId="77777777" w:rsidR="008B387C" w:rsidRPr="008B387C" w:rsidRDefault="008B387C" w:rsidP="008B387C">
      <w:pPr>
        <w:jc w:val="center"/>
        <w:rPr>
          <w:rFonts w:ascii="Titillium" w:hAnsi="Titillium"/>
          <w:b/>
          <w:sz w:val="20"/>
          <w:szCs w:val="20"/>
        </w:rPr>
      </w:pPr>
      <w:r w:rsidRPr="008B387C">
        <w:rPr>
          <w:rFonts w:ascii="Titillium" w:hAnsi="Titillium"/>
          <w:sz w:val="20"/>
          <w:szCs w:val="20"/>
        </w:rPr>
        <w:fldChar w:fldCharType="begin">
          <w:ffData>
            <w:name w:val="Naziv_primatelja"/>
            <w:enabled/>
            <w:calcOnExit w:val="0"/>
            <w:textInput/>
          </w:ffData>
        </w:fldChar>
      </w:r>
      <w:r w:rsidRPr="008B387C">
        <w:rPr>
          <w:rFonts w:ascii="Titillium" w:hAnsi="Titillium"/>
          <w:sz w:val="20"/>
          <w:szCs w:val="20"/>
        </w:rPr>
        <w:instrText xml:space="preserve"> FORMTEXT </w:instrText>
      </w:r>
      <w:r w:rsidR="001545ED">
        <w:rPr>
          <w:rFonts w:ascii="Titillium" w:hAnsi="Titillium"/>
          <w:sz w:val="20"/>
          <w:szCs w:val="20"/>
        </w:rPr>
      </w:r>
      <w:r w:rsidR="001545ED">
        <w:rPr>
          <w:rFonts w:ascii="Titillium" w:hAnsi="Titillium"/>
          <w:sz w:val="20"/>
          <w:szCs w:val="20"/>
        </w:rPr>
        <w:fldChar w:fldCharType="separate"/>
      </w:r>
      <w:r w:rsidRPr="008B387C">
        <w:rPr>
          <w:rFonts w:ascii="Titillium" w:hAnsi="Titillium"/>
          <w:sz w:val="20"/>
          <w:szCs w:val="20"/>
        </w:rPr>
        <w:fldChar w:fldCharType="end"/>
      </w:r>
      <w:r w:rsidRPr="008B387C">
        <w:rPr>
          <w:rFonts w:ascii="Titillium" w:hAnsi="Titillium"/>
          <w:sz w:val="20"/>
          <w:szCs w:val="20"/>
        </w:rPr>
        <w:fldChar w:fldCharType="begin">
          <w:ffData>
            <w:name w:val="Adresa_primatelja"/>
            <w:enabled/>
            <w:calcOnExit w:val="0"/>
            <w:textInput/>
          </w:ffData>
        </w:fldChar>
      </w:r>
      <w:r w:rsidRPr="008B387C">
        <w:rPr>
          <w:rFonts w:ascii="Titillium" w:hAnsi="Titillium"/>
          <w:sz w:val="20"/>
          <w:szCs w:val="20"/>
        </w:rPr>
        <w:instrText xml:space="preserve"> FORMTEXT </w:instrText>
      </w:r>
      <w:r w:rsidR="001545ED">
        <w:rPr>
          <w:rFonts w:ascii="Titillium" w:hAnsi="Titillium"/>
          <w:sz w:val="20"/>
          <w:szCs w:val="20"/>
        </w:rPr>
      </w:r>
      <w:r w:rsidR="001545ED">
        <w:rPr>
          <w:rFonts w:ascii="Titillium" w:hAnsi="Titillium"/>
          <w:sz w:val="20"/>
          <w:szCs w:val="20"/>
        </w:rPr>
        <w:fldChar w:fldCharType="separate"/>
      </w:r>
      <w:r w:rsidRPr="008B387C">
        <w:rPr>
          <w:rFonts w:ascii="Titillium" w:hAnsi="Titillium"/>
          <w:sz w:val="20"/>
          <w:szCs w:val="20"/>
        </w:rPr>
        <w:fldChar w:fldCharType="end"/>
      </w:r>
      <w:r w:rsidRPr="008B387C">
        <w:rPr>
          <w:rFonts w:ascii="Titillium" w:hAnsi="Titillium"/>
          <w:sz w:val="20"/>
          <w:szCs w:val="20"/>
        </w:rPr>
        <w:br/>
      </w:r>
      <w:bookmarkStart w:id="0" w:name="_Toc431893367"/>
      <w:bookmarkStart w:id="1" w:name="_Toc504410286"/>
    </w:p>
    <w:p w14:paraId="75907C90" w14:textId="77777777" w:rsidR="008B387C" w:rsidRPr="008B387C" w:rsidRDefault="008B387C" w:rsidP="008B387C">
      <w:pPr>
        <w:jc w:val="center"/>
        <w:rPr>
          <w:rFonts w:ascii="Titillium" w:hAnsi="Titillium"/>
          <w:b/>
          <w:sz w:val="20"/>
          <w:szCs w:val="20"/>
        </w:rPr>
      </w:pPr>
      <w:r w:rsidRPr="008B387C">
        <w:rPr>
          <w:rFonts w:ascii="Titillium" w:hAnsi="Titillium"/>
          <w:b/>
          <w:sz w:val="20"/>
          <w:szCs w:val="20"/>
        </w:rPr>
        <w:t xml:space="preserve"> </w:t>
      </w:r>
    </w:p>
    <w:p w14:paraId="4307A828" w14:textId="77777777" w:rsidR="008B387C" w:rsidRPr="008B387C" w:rsidRDefault="008B387C" w:rsidP="008B387C">
      <w:pPr>
        <w:jc w:val="center"/>
        <w:rPr>
          <w:rFonts w:ascii="Titillium" w:hAnsi="Titillium"/>
          <w:b/>
          <w:sz w:val="20"/>
          <w:szCs w:val="20"/>
        </w:rPr>
      </w:pPr>
    </w:p>
    <w:p w14:paraId="17CAEC83" w14:textId="77777777" w:rsidR="008B387C" w:rsidRPr="008B387C" w:rsidRDefault="008B387C" w:rsidP="008B387C">
      <w:pPr>
        <w:jc w:val="center"/>
        <w:rPr>
          <w:rFonts w:ascii="Titillium" w:hAnsi="Titillium"/>
          <w:b/>
          <w:sz w:val="24"/>
          <w:szCs w:val="24"/>
        </w:rPr>
      </w:pPr>
      <w:r w:rsidRPr="008B387C">
        <w:rPr>
          <w:rFonts w:ascii="Titillium" w:hAnsi="Titillium"/>
          <w:b/>
          <w:sz w:val="24"/>
          <w:szCs w:val="24"/>
        </w:rPr>
        <w:t xml:space="preserve">DOKUMENTACIJA </w:t>
      </w:r>
      <w:bookmarkEnd w:id="0"/>
      <w:r w:rsidRPr="008B387C">
        <w:rPr>
          <w:rFonts w:ascii="Titillium" w:hAnsi="Titillium"/>
          <w:b/>
          <w:sz w:val="24"/>
          <w:szCs w:val="24"/>
        </w:rPr>
        <w:t>O NABAVI</w:t>
      </w:r>
      <w:bookmarkEnd w:id="1"/>
    </w:p>
    <w:p w14:paraId="5EE0193B" w14:textId="32C2FCD2" w:rsidR="008B387C" w:rsidRPr="008B387C" w:rsidRDefault="008B387C" w:rsidP="008B387C">
      <w:pPr>
        <w:jc w:val="center"/>
        <w:rPr>
          <w:rFonts w:ascii="Titillium" w:hAnsi="Titillium"/>
          <w:b/>
          <w:sz w:val="24"/>
          <w:szCs w:val="24"/>
        </w:rPr>
      </w:pPr>
      <w:bookmarkStart w:id="2" w:name="_Toc431893368"/>
      <w:bookmarkStart w:id="3" w:name="_Toc504410287"/>
      <w:r w:rsidRPr="008B387C">
        <w:rPr>
          <w:rFonts w:ascii="Titillium" w:hAnsi="Titillium"/>
          <w:b/>
          <w:sz w:val="24"/>
          <w:szCs w:val="24"/>
        </w:rPr>
        <w:t>OTVORENI POSTUPAK JAVNE NABAVE MALE VRIJEDNOSTI</w:t>
      </w:r>
      <w:bookmarkEnd w:id="2"/>
      <w:bookmarkEnd w:id="3"/>
      <w:r w:rsidR="007D6A90">
        <w:rPr>
          <w:rFonts w:ascii="Titillium" w:hAnsi="Titillium"/>
          <w:b/>
          <w:sz w:val="24"/>
          <w:szCs w:val="24"/>
        </w:rPr>
        <w:t xml:space="preserve"> KOJI SE PROVODI </w:t>
      </w:r>
      <w:r w:rsidR="00B439D1">
        <w:rPr>
          <w:rFonts w:ascii="Titillium" w:hAnsi="Titillium"/>
          <w:b/>
          <w:sz w:val="24"/>
          <w:szCs w:val="24"/>
        </w:rPr>
        <w:t xml:space="preserve">PO ODREDBAMA ZAKONA O JAVNOJ NABAVI </w:t>
      </w:r>
      <w:r w:rsidR="007D6A90">
        <w:rPr>
          <w:rFonts w:ascii="Titillium" w:hAnsi="Titillium"/>
          <w:b/>
          <w:sz w:val="24"/>
          <w:szCs w:val="24"/>
        </w:rPr>
        <w:t>KAO POSTUPAK VELIKE VRIJEDNOSTI</w:t>
      </w:r>
    </w:p>
    <w:p w14:paraId="5634DCC0" w14:textId="3291E4C5" w:rsidR="008B387C" w:rsidRPr="008B387C" w:rsidRDefault="008B387C" w:rsidP="008B387C">
      <w:pPr>
        <w:adjustRightInd w:val="0"/>
        <w:jc w:val="center"/>
        <w:rPr>
          <w:rFonts w:ascii="Titillium" w:hAnsi="Titillium"/>
          <w:b/>
          <w:color w:val="000000"/>
          <w:sz w:val="24"/>
          <w:szCs w:val="24"/>
          <w:lang w:eastAsia="hr-HR"/>
        </w:rPr>
      </w:pPr>
      <w:r w:rsidRPr="008B387C">
        <w:rPr>
          <w:rFonts w:ascii="Titillium" w:hAnsi="Titillium"/>
          <w:b/>
          <w:color w:val="000000"/>
          <w:sz w:val="24"/>
          <w:szCs w:val="24"/>
          <w:lang w:eastAsia="hr-HR"/>
        </w:rPr>
        <w:t xml:space="preserve">Predmet nabave: </w:t>
      </w:r>
      <w:r w:rsidR="007501BC">
        <w:rPr>
          <w:rFonts w:ascii="Titillium" w:hAnsi="Titillium"/>
          <w:b/>
          <w:color w:val="000000"/>
          <w:sz w:val="24"/>
          <w:szCs w:val="24"/>
          <w:lang w:eastAsia="hr-HR"/>
        </w:rPr>
        <w:t>Usluga savjetovanja pri provođenju postupaka</w:t>
      </w:r>
      <w:r w:rsidR="000E4B09">
        <w:rPr>
          <w:rFonts w:ascii="Titillium" w:hAnsi="Titillium"/>
          <w:b/>
          <w:color w:val="000000"/>
          <w:sz w:val="24"/>
          <w:szCs w:val="24"/>
          <w:lang w:eastAsia="hr-HR"/>
        </w:rPr>
        <w:t xml:space="preserve"> javne nabave</w:t>
      </w:r>
    </w:p>
    <w:p w14:paraId="02545831" w14:textId="1D557C89" w:rsidR="00ED2A75" w:rsidRDefault="00C8462C" w:rsidP="00B944D8">
      <w:pPr>
        <w:pStyle w:val="Default"/>
        <w:jc w:val="center"/>
        <w:rPr>
          <w:rFonts w:ascii="Titillium" w:hAnsi="Titillium"/>
        </w:rPr>
      </w:pPr>
      <w:bookmarkStart w:id="4" w:name="_Toc431893369"/>
      <w:r>
        <w:rPr>
          <w:rFonts w:ascii="Titillium" w:hAnsi="Titillium" w:cs="Times New Roman"/>
          <w:b/>
        </w:rPr>
        <w:t xml:space="preserve"> E</w:t>
      </w:r>
      <w:r w:rsidR="008B387C" w:rsidRPr="008B387C">
        <w:rPr>
          <w:rFonts w:ascii="Titillium" w:hAnsi="Titillium" w:cs="Times New Roman"/>
          <w:b/>
        </w:rPr>
        <w:t xml:space="preserve">videncijski broj nabave: </w:t>
      </w:r>
      <w:bookmarkEnd w:id="4"/>
      <w:r w:rsidR="001F7F4B" w:rsidRPr="00576598">
        <w:rPr>
          <w:rFonts w:ascii="Titillium" w:hAnsi="Titillium" w:cs="Times New Roman"/>
          <w:b/>
        </w:rPr>
        <w:t>JN-OP-</w:t>
      </w:r>
      <w:r w:rsidR="00576598">
        <w:rPr>
          <w:rFonts w:ascii="Titillium" w:hAnsi="Titillium" w:cs="Times New Roman"/>
          <w:b/>
        </w:rPr>
        <w:t>VV-02/18</w:t>
      </w:r>
      <w:r w:rsidR="008B387C" w:rsidRPr="008B387C">
        <w:rPr>
          <w:rFonts w:ascii="Titillium" w:hAnsi="Titillium"/>
        </w:rPr>
        <w:tab/>
      </w:r>
    </w:p>
    <w:p w14:paraId="6DC24CEB" w14:textId="77777777" w:rsidR="00B439D1" w:rsidRDefault="00B439D1" w:rsidP="00B944D8">
      <w:pPr>
        <w:pStyle w:val="Default"/>
        <w:jc w:val="center"/>
        <w:rPr>
          <w:rFonts w:ascii="Titillium" w:hAnsi="Titillium"/>
        </w:rPr>
      </w:pPr>
    </w:p>
    <w:p w14:paraId="520DC6C3" w14:textId="77777777" w:rsidR="00B439D1" w:rsidRDefault="00B439D1" w:rsidP="00B944D8">
      <w:pPr>
        <w:pStyle w:val="Default"/>
        <w:jc w:val="center"/>
        <w:rPr>
          <w:rFonts w:ascii="Titillium" w:hAnsi="Titillium"/>
        </w:rPr>
      </w:pPr>
    </w:p>
    <w:p w14:paraId="758EF630" w14:textId="77777777" w:rsidR="00B439D1" w:rsidRDefault="00B439D1" w:rsidP="00B944D8">
      <w:pPr>
        <w:pStyle w:val="Default"/>
        <w:jc w:val="center"/>
        <w:rPr>
          <w:rFonts w:ascii="Titillium" w:hAnsi="Titillium"/>
        </w:rPr>
      </w:pPr>
    </w:p>
    <w:p w14:paraId="088776FE" w14:textId="77777777" w:rsidR="00B439D1" w:rsidRDefault="00B439D1" w:rsidP="00B944D8">
      <w:pPr>
        <w:pStyle w:val="Default"/>
        <w:jc w:val="center"/>
        <w:rPr>
          <w:rFonts w:ascii="Titillium" w:hAnsi="Titillium"/>
        </w:rPr>
      </w:pPr>
    </w:p>
    <w:p w14:paraId="4FECA2CC" w14:textId="77777777" w:rsidR="00B439D1" w:rsidRDefault="00B439D1" w:rsidP="00B944D8">
      <w:pPr>
        <w:pStyle w:val="Default"/>
        <w:jc w:val="center"/>
        <w:rPr>
          <w:rFonts w:ascii="Titillium" w:hAnsi="Titillium"/>
        </w:rPr>
      </w:pPr>
    </w:p>
    <w:p w14:paraId="442E529D" w14:textId="77777777" w:rsidR="00B439D1" w:rsidRDefault="00B439D1" w:rsidP="00B944D8">
      <w:pPr>
        <w:pStyle w:val="Default"/>
        <w:jc w:val="center"/>
        <w:rPr>
          <w:rFonts w:ascii="Titillium" w:hAnsi="Titillium"/>
        </w:rPr>
      </w:pPr>
    </w:p>
    <w:p w14:paraId="40241718" w14:textId="77777777" w:rsidR="00B439D1" w:rsidRDefault="00B439D1" w:rsidP="00B944D8">
      <w:pPr>
        <w:pStyle w:val="Default"/>
        <w:jc w:val="center"/>
        <w:rPr>
          <w:rFonts w:ascii="Titillium" w:hAnsi="Titillium"/>
        </w:rPr>
      </w:pPr>
    </w:p>
    <w:p w14:paraId="026429A1" w14:textId="77777777" w:rsidR="00ED2A75" w:rsidRDefault="00ED2A75" w:rsidP="00ED2A75">
      <w:pPr>
        <w:pStyle w:val="Default"/>
        <w:rPr>
          <w:rFonts w:ascii="Titillium" w:hAnsi="Titilliu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3084"/>
        <w:gridCol w:w="3078"/>
      </w:tblGrid>
      <w:tr w:rsidR="00B439D1" w14:paraId="3104F330" w14:textId="77777777" w:rsidTr="00576598">
        <w:trPr>
          <w:jc w:val="center"/>
        </w:trPr>
        <w:tc>
          <w:tcPr>
            <w:tcW w:w="3096" w:type="dxa"/>
            <w:vAlign w:val="center"/>
          </w:tcPr>
          <w:p w14:paraId="0D4EEFEF" w14:textId="77777777" w:rsidR="00B439D1" w:rsidRDefault="00B439D1" w:rsidP="00576598">
            <w:pPr>
              <w:pStyle w:val="Default"/>
              <w:jc w:val="center"/>
              <w:rPr>
                <w:rFonts w:ascii="Titillium" w:hAnsi="Titillium"/>
              </w:rPr>
            </w:pPr>
            <w:r>
              <w:rPr>
                <w:rFonts w:ascii="Titillium" w:hAnsi="Titillium"/>
                <w:noProof/>
              </w:rPr>
              <w:drawing>
                <wp:inline distT="0" distB="0" distL="0" distR="0" wp14:anchorId="0A8E3C07" wp14:editId="0DA19C48">
                  <wp:extent cx="80010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nak-poziti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c>
        <w:tc>
          <w:tcPr>
            <w:tcW w:w="3096" w:type="dxa"/>
            <w:vAlign w:val="center"/>
          </w:tcPr>
          <w:p w14:paraId="28576072" w14:textId="77777777" w:rsidR="00B439D1" w:rsidRDefault="00B439D1" w:rsidP="00576598">
            <w:pPr>
              <w:pStyle w:val="Default"/>
              <w:jc w:val="center"/>
              <w:rPr>
                <w:rFonts w:ascii="Titillium" w:hAnsi="Titillium"/>
              </w:rPr>
            </w:pPr>
            <w:r>
              <w:rPr>
                <w:rFonts w:ascii="Titillium" w:hAnsi="Titillium"/>
                <w:noProof/>
              </w:rPr>
              <w:drawing>
                <wp:inline distT="0" distB="0" distL="0" distR="0" wp14:anchorId="0BF5316E" wp14:editId="5875F013">
                  <wp:extent cx="1600200" cy="55315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inistarstvo-zznanosti-i-obrazovanja-1024x35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2231" cy="564228"/>
                          </a:xfrm>
                          <a:prstGeom prst="rect">
                            <a:avLst/>
                          </a:prstGeom>
                        </pic:spPr>
                      </pic:pic>
                    </a:graphicData>
                  </a:graphic>
                </wp:inline>
              </w:drawing>
            </w:r>
          </w:p>
        </w:tc>
        <w:tc>
          <w:tcPr>
            <w:tcW w:w="3096" w:type="dxa"/>
            <w:vAlign w:val="center"/>
          </w:tcPr>
          <w:p w14:paraId="3B1BB53F" w14:textId="77777777" w:rsidR="00B439D1" w:rsidRDefault="00B439D1" w:rsidP="00576598">
            <w:pPr>
              <w:pStyle w:val="Default"/>
              <w:jc w:val="center"/>
              <w:rPr>
                <w:rFonts w:ascii="Titillium" w:hAnsi="Titillium"/>
              </w:rPr>
            </w:pPr>
            <w:r>
              <w:rPr>
                <w:rFonts w:ascii="Titillium" w:hAnsi="Titillium"/>
                <w:noProof/>
              </w:rPr>
              <w:drawing>
                <wp:inline distT="0" distB="0" distL="0" distR="0" wp14:anchorId="3F87DBB3" wp14:editId="5A0430DA">
                  <wp:extent cx="1476375" cy="738188"/>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afuu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448" cy="741725"/>
                          </a:xfrm>
                          <a:prstGeom prst="rect">
                            <a:avLst/>
                          </a:prstGeom>
                        </pic:spPr>
                      </pic:pic>
                    </a:graphicData>
                  </a:graphic>
                </wp:inline>
              </w:drawing>
            </w:r>
          </w:p>
        </w:tc>
      </w:tr>
      <w:tr w:rsidR="00B439D1" w14:paraId="384D5A4E" w14:textId="77777777" w:rsidTr="00576598">
        <w:trPr>
          <w:jc w:val="center"/>
        </w:trPr>
        <w:tc>
          <w:tcPr>
            <w:tcW w:w="3096" w:type="dxa"/>
            <w:vAlign w:val="center"/>
          </w:tcPr>
          <w:p w14:paraId="25F24AA3" w14:textId="77777777" w:rsidR="00B439D1" w:rsidRDefault="00B439D1" w:rsidP="00576598">
            <w:pPr>
              <w:pStyle w:val="Default"/>
              <w:jc w:val="center"/>
              <w:rPr>
                <w:rFonts w:ascii="Titillium" w:hAnsi="Titillium"/>
              </w:rPr>
            </w:pPr>
            <w:r>
              <w:rPr>
                <w:rFonts w:ascii="Titillium" w:hAnsi="Titillium"/>
                <w:noProof/>
              </w:rPr>
              <w:drawing>
                <wp:inline distT="0" distB="0" distL="0" distR="0" wp14:anchorId="6DD2F854" wp14:editId="518DA640">
                  <wp:extent cx="1844964" cy="32385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png"/>
                          <pic:cNvPicPr/>
                        </pic:nvPicPr>
                        <pic:blipFill>
                          <a:blip r:embed="rId12">
                            <a:extLst>
                              <a:ext uri="{28A0092B-C50C-407E-A947-70E740481C1C}">
                                <a14:useLocalDpi xmlns:a14="http://schemas.microsoft.com/office/drawing/2010/main" val="0"/>
                              </a:ext>
                            </a:extLst>
                          </a:blip>
                          <a:stretch>
                            <a:fillRect/>
                          </a:stretch>
                        </pic:blipFill>
                        <pic:spPr>
                          <a:xfrm>
                            <a:off x="0" y="0"/>
                            <a:ext cx="1850928" cy="324897"/>
                          </a:xfrm>
                          <a:prstGeom prst="rect">
                            <a:avLst/>
                          </a:prstGeom>
                        </pic:spPr>
                      </pic:pic>
                    </a:graphicData>
                  </a:graphic>
                </wp:inline>
              </w:drawing>
            </w:r>
          </w:p>
        </w:tc>
        <w:tc>
          <w:tcPr>
            <w:tcW w:w="3096" w:type="dxa"/>
            <w:vAlign w:val="center"/>
          </w:tcPr>
          <w:p w14:paraId="5B260CA8" w14:textId="77777777" w:rsidR="00B439D1" w:rsidRDefault="00B439D1" w:rsidP="00576598">
            <w:pPr>
              <w:pStyle w:val="Default"/>
              <w:jc w:val="center"/>
              <w:rPr>
                <w:rFonts w:ascii="Titillium" w:hAnsi="Titillium"/>
              </w:rPr>
            </w:pPr>
            <w:r>
              <w:rPr>
                <w:rFonts w:ascii="Titillium" w:hAnsi="Titillium"/>
                <w:noProof/>
              </w:rPr>
              <w:drawing>
                <wp:inline distT="0" distB="0" distL="0" distR="0" wp14:anchorId="422FC921" wp14:editId="3E43D5B3">
                  <wp:extent cx="1446028" cy="48577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ndovi.png"/>
                          <pic:cNvPicPr/>
                        </pic:nvPicPr>
                        <pic:blipFill>
                          <a:blip r:embed="rId13">
                            <a:extLst>
                              <a:ext uri="{28A0092B-C50C-407E-A947-70E740481C1C}">
                                <a14:useLocalDpi xmlns:a14="http://schemas.microsoft.com/office/drawing/2010/main" val="0"/>
                              </a:ext>
                            </a:extLst>
                          </a:blip>
                          <a:stretch>
                            <a:fillRect/>
                          </a:stretch>
                        </pic:blipFill>
                        <pic:spPr>
                          <a:xfrm>
                            <a:off x="0" y="0"/>
                            <a:ext cx="1449698" cy="487008"/>
                          </a:xfrm>
                          <a:prstGeom prst="rect">
                            <a:avLst/>
                          </a:prstGeom>
                        </pic:spPr>
                      </pic:pic>
                    </a:graphicData>
                  </a:graphic>
                </wp:inline>
              </w:drawing>
            </w:r>
          </w:p>
        </w:tc>
        <w:tc>
          <w:tcPr>
            <w:tcW w:w="3096" w:type="dxa"/>
            <w:vAlign w:val="center"/>
          </w:tcPr>
          <w:p w14:paraId="5DC060C5" w14:textId="77777777" w:rsidR="00B439D1" w:rsidRDefault="00B439D1" w:rsidP="00576598">
            <w:pPr>
              <w:pStyle w:val="Default"/>
              <w:jc w:val="center"/>
              <w:rPr>
                <w:rFonts w:ascii="Titillium" w:hAnsi="Titillium"/>
              </w:rPr>
            </w:pPr>
            <w:r>
              <w:rPr>
                <w:rFonts w:ascii="Titillium" w:hAnsi="Titillium"/>
                <w:noProof/>
              </w:rPr>
              <w:drawing>
                <wp:inline distT="0" distB="0" distL="0" distR="0" wp14:anchorId="4B69FE48" wp14:editId="3C4CEA38">
                  <wp:extent cx="1387568" cy="37147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KK.png"/>
                          <pic:cNvPicPr/>
                        </pic:nvPicPr>
                        <pic:blipFill>
                          <a:blip r:embed="rId14">
                            <a:extLst>
                              <a:ext uri="{28A0092B-C50C-407E-A947-70E740481C1C}">
                                <a14:useLocalDpi xmlns:a14="http://schemas.microsoft.com/office/drawing/2010/main" val="0"/>
                              </a:ext>
                            </a:extLst>
                          </a:blip>
                          <a:stretch>
                            <a:fillRect/>
                          </a:stretch>
                        </pic:blipFill>
                        <pic:spPr>
                          <a:xfrm>
                            <a:off x="0" y="0"/>
                            <a:ext cx="1389653" cy="372033"/>
                          </a:xfrm>
                          <a:prstGeom prst="rect">
                            <a:avLst/>
                          </a:prstGeom>
                        </pic:spPr>
                      </pic:pic>
                    </a:graphicData>
                  </a:graphic>
                </wp:inline>
              </w:drawing>
            </w:r>
          </w:p>
        </w:tc>
      </w:tr>
    </w:tbl>
    <w:p w14:paraId="0263FF0A" w14:textId="018C6750" w:rsidR="008B387C" w:rsidRPr="00B944D8" w:rsidRDefault="008B387C" w:rsidP="00ED2A75">
      <w:pPr>
        <w:pStyle w:val="Default"/>
        <w:rPr>
          <w:rFonts w:ascii="Titillium" w:hAnsi="Titillium" w:cs="Arial"/>
          <w:b/>
        </w:rPr>
      </w:pPr>
      <w:r w:rsidRPr="008B387C">
        <w:rPr>
          <w:rFonts w:ascii="Titillium" w:hAnsi="Titillium"/>
        </w:rPr>
        <w:br w:type="page"/>
      </w:r>
      <w:r w:rsidRPr="008B387C">
        <w:rPr>
          <w:rFonts w:ascii="Titillium" w:hAnsi="Titillium"/>
        </w:rPr>
        <w:fldChar w:fldCharType="begin">
          <w:ffData>
            <w:name w:val="Naziv_primatelja"/>
            <w:enabled/>
            <w:calcOnExit w:val="0"/>
            <w:textInput/>
          </w:ffData>
        </w:fldChar>
      </w:r>
      <w:r w:rsidRPr="008B387C">
        <w:rPr>
          <w:rFonts w:ascii="Titillium" w:hAnsi="Titillium"/>
        </w:rPr>
        <w:instrText xml:space="preserve"> FORMTEXT </w:instrText>
      </w:r>
      <w:r w:rsidR="001545ED">
        <w:rPr>
          <w:rFonts w:ascii="Titillium" w:hAnsi="Titillium"/>
        </w:rPr>
      </w:r>
      <w:r w:rsidR="001545ED">
        <w:rPr>
          <w:rFonts w:ascii="Titillium" w:hAnsi="Titillium"/>
        </w:rPr>
        <w:fldChar w:fldCharType="separate"/>
      </w:r>
      <w:r w:rsidRPr="008B387C">
        <w:rPr>
          <w:rFonts w:ascii="Titillium" w:hAnsi="Titillium"/>
        </w:rPr>
        <w:fldChar w:fldCharType="end"/>
      </w:r>
      <w:r w:rsidRPr="008B387C">
        <w:rPr>
          <w:rFonts w:ascii="Titillium" w:hAnsi="Titillium"/>
        </w:rPr>
        <w:fldChar w:fldCharType="begin">
          <w:ffData>
            <w:name w:val="Adresa_primatelja"/>
            <w:enabled/>
            <w:calcOnExit w:val="0"/>
            <w:textInput/>
          </w:ffData>
        </w:fldChar>
      </w:r>
      <w:r w:rsidRPr="008B387C">
        <w:rPr>
          <w:rFonts w:ascii="Titillium" w:hAnsi="Titillium"/>
        </w:rPr>
        <w:instrText xml:space="preserve"> FORMTEXT </w:instrText>
      </w:r>
      <w:r w:rsidR="001545ED">
        <w:rPr>
          <w:rFonts w:ascii="Titillium" w:hAnsi="Titillium"/>
        </w:rPr>
      </w:r>
      <w:r w:rsidR="001545ED">
        <w:rPr>
          <w:rFonts w:ascii="Titillium" w:hAnsi="Titillium"/>
        </w:rPr>
        <w:fldChar w:fldCharType="separate"/>
      </w:r>
      <w:r w:rsidRPr="008B387C">
        <w:rPr>
          <w:rFonts w:ascii="Titillium" w:hAnsi="Titillium"/>
        </w:rPr>
        <w:fldChar w:fldCharType="end"/>
      </w:r>
    </w:p>
    <w:p w14:paraId="646A8C11" w14:textId="77777777" w:rsidR="00495CE7" w:rsidRDefault="00495CE7" w:rsidP="008B387C">
      <w:pPr>
        <w:autoSpaceDE w:val="0"/>
        <w:autoSpaceDN w:val="0"/>
        <w:spacing w:before="100" w:beforeAutospacing="1" w:after="0" w:line="240" w:lineRule="auto"/>
        <w:rPr>
          <w:rFonts w:ascii="Titillium" w:eastAsiaTheme="majorEastAsia" w:hAnsi="Titillium" w:cs="Calibri Light"/>
          <w:b/>
          <w:sz w:val="20"/>
          <w:szCs w:val="20"/>
        </w:rPr>
      </w:pPr>
    </w:p>
    <w:p w14:paraId="513BC7CC" w14:textId="5105BE83" w:rsidR="008B387C" w:rsidRPr="00E2440C" w:rsidRDefault="008B387C" w:rsidP="008B387C">
      <w:pPr>
        <w:autoSpaceDE w:val="0"/>
        <w:autoSpaceDN w:val="0"/>
        <w:spacing w:before="100" w:beforeAutospacing="1" w:after="0" w:line="240" w:lineRule="auto"/>
        <w:rPr>
          <w:rFonts w:ascii="Titillium" w:eastAsiaTheme="majorEastAsia" w:hAnsi="Titillium" w:cs="Calibri Light"/>
          <w:b/>
          <w:sz w:val="20"/>
          <w:szCs w:val="20"/>
        </w:rPr>
      </w:pPr>
      <w:r w:rsidRPr="00E2440C">
        <w:rPr>
          <w:rFonts w:ascii="Titillium" w:eastAsiaTheme="majorEastAsia" w:hAnsi="Titillium" w:cs="Calibri Light"/>
          <w:b/>
          <w:sz w:val="20"/>
          <w:szCs w:val="20"/>
        </w:rPr>
        <w:t>SADRŽAJ:</w:t>
      </w:r>
    </w:p>
    <w:p w14:paraId="7D6CBA8B" w14:textId="22364524" w:rsidR="008B387C" w:rsidRPr="00E2440C" w:rsidRDefault="004E10C9" w:rsidP="008B387C">
      <w:pPr>
        <w:pStyle w:val="ListParagraph"/>
        <w:numPr>
          <w:ilvl w:val="0"/>
          <w:numId w:val="1"/>
        </w:numPr>
        <w:autoSpaceDE w:val="0"/>
        <w:autoSpaceDN w:val="0"/>
        <w:spacing w:before="100" w:beforeAutospacing="1"/>
        <w:rPr>
          <w:rFonts w:ascii="Titillium" w:hAnsi="Titillium" w:cs="Calibri Light"/>
          <w:sz w:val="20"/>
          <w:szCs w:val="20"/>
        </w:rPr>
      </w:pPr>
      <w:r>
        <w:rPr>
          <w:rFonts w:ascii="Titillium" w:hAnsi="Titillium" w:cs="Calibri Light"/>
          <w:sz w:val="20"/>
          <w:szCs w:val="20"/>
        </w:rPr>
        <w:t xml:space="preserve">OPĆI PODACI </w:t>
      </w:r>
      <w:r w:rsidR="008B387C" w:rsidRPr="00E2440C">
        <w:rPr>
          <w:rFonts w:ascii="Titillium" w:hAnsi="Titillium" w:cs="Calibri Light"/>
          <w:sz w:val="20"/>
          <w:szCs w:val="20"/>
        </w:rPr>
        <w:t>O NARUČITELJU</w:t>
      </w:r>
    </w:p>
    <w:p w14:paraId="4F3D6ABE" w14:textId="2CCDA2C0" w:rsidR="008B387C" w:rsidRPr="00E2440C" w:rsidRDefault="004E10C9" w:rsidP="008B387C">
      <w:pPr>
        <w:pStyle w:val="ListParagraph"/>
        <w:numPr>
          <w:ilvl w:val="0"/>
          <w:numId w:val="1"/>
        </w:numPr>
        <w:autoSpaceDE w:val="0"/>
        <w:autoSpaceDN w:val="0"/>
        <w:spacing w:before="100" w:beforeAutospacing="1"/>
        <w:rPr>
          <w:rFonts w:ascii="Titillium" w:hAnsi="Titillium"/>
          <w:sz w:val="20"/>
          <w:szCs w:val="20"/>
        </w:rPr>
      </w:pPr>
      <w:r>
        <w:rPr>
          <w:rFonts w:ascii="Titillium" w:hAnsi="Titillium"/>
          <w:sz w:val="20"/>
          <w:szCs w:val="20"/>
        </w:rPr>
        <w:t xml:space="preserve">PODACI O </w:t>
      </w:r>
      <w:r w:rsidR="008B387C" w:rsidRPr="00E2440C">
        <w:rPr>
          <w:rFonts w:ascii="Titillium" w:hAnsi="Titillium"/>
          <w:sz w:val="20"/>
          <w:szCs w:val="20"/>
        </w:rPr>
        <w:t>PREDMETU NABAVE</w:t>
      </w:r>
    </w:p>
    <w:p w14:paraId="0234EBCB" w14:textId="1A95DA2A" w:rsidR="008B387C" w:rsidRPr="00E2440C" w:rsidRDefault="004E10C9" w:rsidP="008B387C">
      <w:pPr>
        <w:pStyle w:val="ListParagraph"/>
        <w:numPr>
          <w:ilvl w:val="0"/>
          <w:numId w:val="1"/>
        </w:numPr>
        <w:autoSpaceDE w:val="0"/>
        <w:autoSpaceDN w:val="0"/>
        <w:spacing w:before="100" w:beforeAutospacing="1"/>
        <w:rPr>
          <w:rFonts w:ascii="Titillium" w:hAnsi="Titillium"/>
          <w:sz w:val="20"/>
          <w:szCs w:val="20"/>
        </w:rPr>
      </w:pPr>
      <w:r>
        <w:rPr>
          <w:rFonts w:ascii="Titillium" w:hAnsi="Titillium"/>
          <w:sz w:val="20"/>
          <w:szCs w:val="20"/>
        </w:rPr>
        <w:t xml:space="preserve">OSNOVE ZA ISKLJUČENJE </w:t>
      </w:r>
      <w:r w:rsidR="008B387C" w:rsidRPr="00E2440C">
        <w:rPr>
          <w:rFonts w:ascii="Titillium" w:hAnsi="Titillium"/>
          <w:sz w:val="20"/>
          <w:szCs w:val="20"/>
        </w:rPr>
        <w:t>GOSPODARSKOG SUBJEKTA</w:t>
      </w:r>
    </w:p>
    <w:p w14:paraId="43468C62" w14:textId="784D65E3" w:rsidR="008B387C" w:rsidRPr="00E2440C" w:rsidRDefault="008B387C" w:rsidP="008B387C">
      <w:pPr>
        <w:pStyle w:val="ListParagraph"/>
        <w:numPr>
          <w:ilvl w:val="0"/>
          <w:numId w:val="1"/>
        </w:numPr>
        <w:autoSpaceDE w:val="0"/>
        <w:autoSpaceDN w:val="0"/>
        <w:spacing w:before="100" w:beforeAutospacing="1"/>
        <w:rPr>
          <w:rFonts w:ascii="Titillium" w:hAnsi="Titillium"/>
          <w:sz w:val="20"/>
          <w:szCs w:val="20"/>
        </w:rPr>
      </w:pPr>
      <w:r w:rsidRPr="00E2440C">
        <w:rPr>
          <w:rFonts w:ascii="Titillium" w:hAnsi="Titillium"/>
          <w:sz w:val="20"/>
          <w:szCs w:val="20"/>
        </w:rPr>
        <w:t xml:space="preserve">KRITERIJ ZA ODABIR </w:t>
      </w:r>
      <w:r w:rsidR="004E10C9">
        <w:rPr>
          <w:rFonts w:ascii="Titillium" w:hAnsi="Titillium"/>
          <w:sz w:val="20"/>
          <w:szCs w:val="20"/>
        </w:rPr>
        <w:t xml:space="preserve">GOSPODARSKOG  SUBJEKTA (UVJETI </w:t>
      </w:r>
      <w:r w:rsidRPr="00E2440C">
        <w:rPr>
          <w:rFonts w:ascii="Titillium" w:hAnsi="Titillium"/>
          <w:sz w:val="20"/>
          <w:szCs w:val="20"/>
        </w:rPr>
        <w:t>SPOSOBNOSTI)</w:t>
      </w:r>
    </w:p>
    <w:p w14:paraId="048469F1" w14:textId="77777777" w:rsidR="008B387C" w:rsidRPr="00E2440C" w:rsidRDefault="008B387C" w:rsidP="008B387C">
      <w:pPr>
        <w:pStyle w:val="ListParagraph"/>
        <w:numPr>
          <w:ilvl w:val="0"/>
          <w:numId w:val="1"/>
        </w:numPr>
        <w:autoSpaceDE w:val="0"/>
        <w:autoSpaceDN w:val="0"/>
        <w:spacing w:before="100" w:beforeAutospacing="1"/>
        <w:rPr>
          <w:rFonts w:ascii="Titillium" w:hAnsi="Titillium"/>
          <w:sz w:val="20"/>
          <w:szCs w:val="20"/>
        </w:rPr>
      </w:pPr>
      <w:r w:rsidRPr="00E2440C">
        <w:rPr>
          <w:rFonts w:ascii="Titillium" w:hAnsi="Titillium"/>
          <w:sz w:val="20"/>
          <w:szCs w:val="20"/>
        </w:rPr>
        <w:t>EUROPSKA JEDINSTVENA DOKUMENTACIJA O NABAVI (ESPD)</w:t>
      </w:r>
    </w:p>
    <w:p w14:paraId="66E100F7" w14:textId="77777777" w:rsidR="008B387C" w:rsidRPr="00E2440C" w:rsidRDefault="008B387C" w:rsidP="008B387C">
      <w:pPr>
        <w:pStyle w:val="ListParagraph"/>
        <w:numPr>
          <w:ilvl w:val="0"/>
          <w:numId w:val="1"/>
        </w:numPr>
        <w:autoSpaceDE w:val="0"/>
        <w:autoSpaceDN w:val="0"/>
        <w:spacing w:before="100" w:beforeAutospacing="1"/>
        <w:rPr>
          <w:rFonts w:ascii="Titillium" w:hAnsi="Titillium"/>
          <w:sz w:val="20"/>
          <w:szCs w:val="20"/>
        </w:rPr>
      </w:pPr>
      <w:r w:rsidRPr="00E2440C">
        <w:rPr>
          <w:rFonts w:ascii="Titillium" w:hAnsi="Titillium"/>
          <w:sz w:val="20"/>
          <w:szCs w:val="20"/>
        </w:rPr>
        <w:t>PODACI O PONUDI</w:t>
      </w:r>
    </w:p>
    <w:p w14:paraId="60EEE955" w14:textId="77777777" w:rsidR="008B387C" w:rsidRPr="00E2440C" w:rsidRDefault="008B387C" w:rsidP="008B387C">
      <w:pPr>
        <w:pStyle w:val="ListParagraph"/>
        <w:numPr>
          <w:ilvl w:val="0"/>
          <w:numId w:val="1"/>
        </w:numPr>
        <w:autoSpaceDE w:val="0"/>
        <w:autoSpaceDN w:val="0"/>
        <w:spacing w:before="100" w:beforeAutospacing="1"/>
        <w:rPr>
          <w:rFonts w:ascii="Titillium" w:hAnsi="Titillium"/>
          <w:sz w:val="20"/>
          <w:szCs w:val="20"/>
        </w:rPr>
      </w:pPr>
      <w:r w:rsidRPr="00E2440C">
        <w:rPr>
          <w:rFonts w:ascii="Titillium" w:hAnsi="Titillium"/>
          <w:sz w:val="20"/>
          <w:szCs w:val="20"/>
        </w:rPr>
        <w:t>OSTALE ODREDBE</w:t>
      </w:r>
    </w:p>
    <w:p w14:paraId="487A4768" w14:textId="757EE51B" w:rsidR="008B387C" w:rsidRPr="00E2440C" w:rsidRDefault="004E10C9" w:rsidP="008B387C">
      <w:pPr>
        <w:pStyle w:val="ListParagraph"/>
        <w:numPr>
          <w:ilvl w:val="0"/>
          <w:numId w:val="1"/>
        </w:numPr>
        <w:autoSpaceDE w:val="0"/>
        <w:autoSpaceDN w:val="0"/>
        <w:spacing w:before="100" w:beforeAutospacing="1"/>
        <w:rPr>
          <w:rFonts w:ascii="Titillium" w:hAnsi="Titillium"/>
          <w:sz w:val="20"/>
          <w:szCs w:val="20"/>
        </w:rPr>
      </w:pPr>
      <w:r>
        <w:rPr>
          <w:rFonts w:ascii="Titillium" w:hAnsi="Titillium"/>
          <w:sz w:val="20"/>
          <w:szCs w:val="20"/>
        </w:rPr>
        <w:t xml:space="preserve">DRUGI PODACI </w:t>
      </w:r>
      <w:r w:rsidR="008B387C" w:rsidRPr="00E2440C">
        <w:rPr>
          <w:rFonts w:ascii="Titillium" w:hAnsi="Titillium"/>
          <w:sz w:val="20"/>
          <w:szCs w:val="20"/>
        </w:rPr>
        <w:t>KOJE NARUČITELJ SMATRA POTREBNIMA</w:t>
      </w:r>
    </w:p>
    <w:p w14:paraId="16123F58" w14:textId="77777777" w:rsidR="008B387C" w:rsidRPr="00E2440C" w:rsidRDefault="008B387C" w:rsidP="008B387C">
      <w:pPr>
        <w:autoSpaceDE w:val="0"/>
        <w:autoSpaceDN w:val="0"/>
        <w:spacing w:before="100" w:beforeAutospacing="1" w:after="0" w:line="240" w:lineRule="auto"/>
        <w:rPr>
          <w:rFonts w:ascii="Titillium" w:hAnsi="Titillium"/>
          <w:b/>
          <w:sz w:val="20"/>
          <w:szCs w:val="20"/>
        </w:rPr>
      </w:pPr>
    </w:p>
    <w:p w14:paraId="5514CF49" w14:textId="77777777" w:rsidR="008B387C" w:rsidRPr="00E2440C" w:rsidRDefault="008B387C" w:rsidP="008B387C">
      <w:pPr>
        <w:autoSpaceDE w:val="0"/>
        <w:autoSpaceDN w:val="0"/>
        <w:spacing w:before="100" w:beforeAutospacing="1" w:after="0" w:line="240" w:lineRule="auto"/>
        <w:rPr>
          <w:rFonts w:ascii="Titillium" w:hAnsi="Titillium"/>
          <w:b/>
          <w:sz w:val="20"/>
          <w:szCs w:val="20"/>
        </w:rPr>
      </w:pPr>
      <w:r w:rsidRPr="00E2440C">
        <w:rPr>
          <w:rFonts w:ascii="Titillium" w:hAnsi="Titillium"/>
          <w:b/>
          <w:sz w:val="20"/>
          <w:szCs w:val="20"/>
        </w:rPr>
        <w:t>PRILOZI:</w:t>
      </w:r>
    </w:p>
    <w:p w14:paraId="1729557C" w14:textId="743DE506" w:rsidR="008B387C" w:rsidRDefault="00E76449" w:rsidP="008B387C">
      <w:pPr>
        <w:spacing w:after="0"/>
        <w:jc w:val="both"/>
        <w:rPr>
          <w:rFonts w:ascii="Titillium" w:hAnsi="Titillium"/>
          <w:sz w:val="20"/>
          <w:szCs w:val="20"/>
          <w:lang w:eastAsia="hr-HR"/>
        </w:rPr>
      </w:pPr>
      <w:r>
        <w:rPr>
          <w:rFonts w:ascii="Titillium" w:hAnsi="Titillium"/>
          <w:sz w:val="20"/>
          <w:szCs w:val="20"/>
          <w:lang w:eastAsia="hr-HR"/>
        </w:rPr>
        <w:t>Dodatak 1 -</w:t>
      </w:r>
      <w:r w:rsidR="008B387C">
        <w:rPr>
          <w:rFonts w:ascii="Titillium" w:hAnsi="Titillium"/>
          <w:sz w:val="20"/>
          <w:szCs w:val="20"/>
          <w:lang w:eastAsia="hr-HR"/>
        </w:rPr>
        <w:t xml:space="preserve"> </w:t>
      </w:r>
      <w:r w:rsidR="00576598">
        <w:rPr>
          <w:rFonts w:ascii="Titillium" w:hAnsi="Titillium"/>
          <w:sz w:val="20"/>
          <w:szCs w:val="20"/>
          <w:lang w:eastAsia="hr-HR"/>
        </w:rPr>
        <w:t>Opis posla</w:t>
      </w:r>
    </w:p>
    <w:p w14:paraId="7F3EDA40" w14:textId="55C576D2" w:rsidR="00FA05C0" w:rsidRPr="00E2440C" w:rsidRDefault="00FA05C0" w:rsidP="008B387C">
      <w:pPr>
        <w:spacing w:after="0"/>
        <w:jc w:val="both"/>
        <w:rPr>
          <w:rFonts w:ascii="Titillium" w:hAnsi="Titillium"/>
          <w:sz w:val="20"/>
          <w:szCs w:val="20"/>
          <w:lang w:eastAsia="hr-HR"/>
        </w:rPr>
      </w:pPr>
      <w:r>
        <w:rPr>
          <w:rFonts w:ascii="Titillium" w:hAnsi="Titillium"/>
          <w:sz w:val="20"/>
          <w:szCs w:val="20"/>
          <w:lang w:eastAsia="hr-HR"/>
        </w:rPr>
        <w:t xml:space="preserve"> Troškovnik</w:t>
      </w:r>
    </w:p>
    <w:p w14:paraId="3785754F" w14:textId="77777777" w:rsidR="00E204FA" w:rsidRDefault="00E204FA"/>
    <w:p w14:paraId="15F23B82" w14:textId="77777777" w:rsidR="008B387C" w:rsidRDefault="008B387C"/>
    <w:p w14:paraId="08E19B9C" w14:textId="77777777" w:rsidR="008B387C" w:rsidRDefault="008B387C"/>
    <w:p w14:paraId="521B57AF" w14:textId="77777777" w:rsidR="008B387C" w:rsidRDefault="008B387C"/>
    <w:p w14:paraId="7DFFAE43" w14:textId="77777777" w:rsidR="008B387C" w:rsidRDefault="008B387C"/>
    <w:p w14:paraId="54CD2A70" w14:textId="77777777" w:rsidR="008B387C" w:rsidRDefault="008B387C"/>
    <w:p w14:paraId="5DE1EC51" w14:textId="77777777" w:rsidR="008B387C" w:rsidRDefault="008B387C"/>
    <w:p w14:paraId="3F33D344" w14:textId="77777777" w:rsidR="008B387C" w:rsidRDefault="008B387C"/>
    <w:p w14:paraId="423CAA80" w14:textId="77777777" w:rsidR="008B387C" w:rsidRDefault="008B387C"/>
    <w:p w14:paraId="2C65BF53" w14:textId="77777777" w:rsidR="008B387C" w:rsidRDefault="008B387C"/>
    <w:p w14:paraId="5669B04A" w14:textId="77777777" w:rsidR="008B387C" w:rsidRDefault="008B387C"/>
    <w:p w14:paraId="2F9CD842" w14:textId="77777777" w:rsidR="00F44709" w:rsidRDefault="00F44709" w:rsidP="008B387C">
      <w:pPr>
        <w:pStyle w:val="NoSpacing"/>
      </w:pPr>
    </w:p>
    <w:p w14:paraId="2F21197E" w14:textId="77777777" w:rsidR="004C364C" w:rsidRDefault="004C364C" w:rsidP="008B387C">
      <w:pPr>
        <w:pStyle w:val="NoSpacing"/>
      </w:pPr>
    </w:p>
    <w:p w14:paraId="23DBD57C" w14:textId="77777777" w:rsidR="004C364C" w:rsidRDefault="004C364C" w:rsidP="008B387C">
      <w:pPr>
        <w:pStyle w:val="NoSpacing"/>
      </w:pPr>
    </w:p>
    <w:p w14:paraId="4399C04D" w14:textId="77777777" w:rsidR="00273C29" w:rsidRDefault="00273C29" w:rsidP="008B387C">
      <w:pPr>
        <w:pStyle w:val="NoSpacing"/>
      </w:pPr>
    </w:p>
    <w:p w14:paraId="7C732408" w14:textId="77777777" w:rsidR="002A6078" w:rsidRDefault="002A6078" w:rsidP="008B387C">
      <w:pPr>
        <w:pStyle w:val="NoSpacing"/>
      </w:pPr>
    </w:p>
    <w:p w14:paraId="4963A03A" w14:textId="77777777" w:rsidR="001F7F4B" w:rsidRDefault="001F7F4B" w:rsidP="008B387C">
      <w:pPr>
        <w:pStyle w:val="NoSpacing"/>
      </w:pPr>
    </w:p>
    <w:p w14:paraId="683A53D8" w14:textId="77777777" w:rsidR="002A6078" w:rsidRDefault="002A6078" w:rsidP="008B387C">
      <w:pPr>
        <w:pStyle w:val="NoSpacing"/>
      </w:pPr>
    </w:p>
    <w:p w14:paraId="20AF78EF" w14:textId="77777777" w:rsidR="00D069E9" w:rsidRDefault="00D069E9" w:rsidP="008B387C">
      <w:pPr>
        <w:pStyle w:val="NoSpacing"/>
      </w:pPr>
    </w:p>
    <w:p w14:paraId="261FF57E" w14:textId="50A78545" w:rsidR="00434F63" w:rsidRDefault="00434F63" w:rsidP="008B387C">
      <w:pPr>
        <w:pStyle w:val="NoSpacing"/>
      </w:pPr>
    </w:p>
    <w:p w14:paraId="45B08640" w14:textId="77777777" w:rsidR="00495CE7" w:rsidRDefault="00495CE7" w:rsidP="008B387C">
      <w:pPr>
        <w:pStyle w:val="NoSpacing"/>
      </w:pPr>
    </w:p>
    <w:p w14:paraId="33199F8B" w14:textId="77777777" w:rsidR="005F21B3" w:rsidRPr="005F21B3" w:rsidRDefault="002E65D7" w:rsidP="00F77A9D">
      <w:pPr>
        <w:pStyle w:val="NoSpacing"/>
        <w:numPr>
          <w:ilvl w:val="0"/>
          <w:numId w:val="3"/>
        </w:numPr>
        <w:jc w:val="both"/>
        <w:rPr>
          <w:rFonts w:ascii="Titillium" w:hAnsi="Titillium"/>
          <w:b/>
          <w:u w:val="single"/>
        </w:rPr>
      </w:pPr>
      <w:r w:rsidRPr="007F0429">
        <w:rPr>
          <w:rFonts w:ascii="Titillium" w:hAnsi="Titillium"/>
          <w:b/>
          <w:u w:val="single"/>
        </w:rPr>
        <w:t>OPĆI PODACI O NARUČITELJU</w:t>
      </w:r>
    </w:p>
    <w:p w14:paraId="790A56E2" w14:textId="48A1A5C9" w:rsidR="008B387C" w:rsidRPr="00072CC8" w:rsidRDefault="008B387C" w:rsidP="00072CC8">
      <w:pPr>
        <w:pStyle w:val="NoSpacing"/>
        <w:jc w:val="both"/>
        <w:rPr>
          <w:rFonts w:ascii="Titillium" w:hAnsi="Titillium"/>
          <w:sz w:val="20"/>
          <w:szCs w:val="20"/>
        </w:rPr>
      </w:pPr>
      <w:r w:rsidRPr="00072CC8">
        <w:rPr>
          <w:rFonts w:ascii="Titillium" w:hAnsi="Titillium"/>
          <w:sz w:val="20"/>
          <w:szCs w:val="20"/>
        </w:rPr>
        <w:t>Institut za medicinska istr</w:t>
      </w:r>
      <w:r w:rsidR="004E10C9">
        <w:rPr>
          <w:rFonts w:ascii="Titillium" w:hAnsi="Titillium"/>
          <w:sz w:val="20"/>
          <w:szCs w:val="20"/>
        </w:rPr>
        <w:t xml:space="preserve">aživanja i medicinu rada, </w:t>
      </w:r>
      <w:r w:rsidR="00E360A0">
        <w:rPr>
          <w:rFonts w:ascii="Titillium" w:hAnsi="Titillium"/>
          <w:sz w:val="20"/>
          <w:szCs w:val="20"/>
        </w:rPr>
        <w:t>10 001</w:t>
      </w:r>
      <w:r w:rsidRPr="00072CC8">
        <w:rPr>
          <w:rFonts w:ascii="Titillium" w:hAnsi="Titillium"/>
          <w:sz w:val="20"/>
          <w:szCs w:val="20"/>
        </w:rPr>
        <w:t xml:space="preserve"> Zagreb, Ksaverska cesta 2</w:t>
      </w:r>
    </w:p>
    <w:p w14:paraId="1CB40F92" w14:textId="77777777" w:rsidR="008B387C" w:rsidRPr="00072CC8" w:rsidRDefault="008B387C" w:rsidP="00072CC8">
      <w:pPr>
        <w:pStyle w:val="NoSpacing"/>
        <w:jc w:val="both"/>
        <w:rPr>
          <w:rFonts w:ascii="Titillium" w:hAnsi="Titillium"/>
          <w:sz w:val="20"/>
          <w:szCs w:val="20"/>
        </w:rPr>
      </w:pPr>
      <w:r w:rsidRPr="00072CC8">
        <w:rPr>
          <w:rFonts w:ascii="Titillium" w:hAnsi="Titillium"/>
          <w:sz w:val="20"/>
          <w:szCs w:val="20"/>
        </w:rPr>
        <w:t xml:space="preserve">OIB: </w:t>
      </w:r>
      <w:r w:rsidRPr="00072CC8">
        <w:rPr>
          <w:rFonts w:ascii="Titillium" w:hAnsi="Titillium"/>
          <w:sz w:val="20"/>
          <w:szCs w:val="20"/>
        </w:rPr>
        <w:tab/>
      </w:r>
      <w:r w:rsidRPr="00072CC8">
        <w:rPr>
          <w:rFonts w:ascii="Titillium" w:hAnsi="Titillium"/>
          <w:sz w:val="20"/>
          <w:szCs w:val="20"/>
        </w:rPr>
        <w:tab/>
      </w:r>
      <w:r w:rsidRPr="00072CC8">
        <w:rPr>
          <w:rFonts w:ascii="Titillium" w:hAnsi="Titillium"/>
          <w:sz w:val="20"/>
          <w:szCs w:val="20"/>
        </w:rPr>
        <w:tab/>
      </w:r>
      <w:r w:rsidRPr="00072CC8">
        <w:rPr>
          <w:rFonts w:ascii="Titillium" w:hAnsi="Titillium"/>
          <w:sz w:val="20"/>
          <w:szCs w:val="20"/>
        </w:rPr>
        <w:tab/>
        <w:t>30285469659</w:t>
      </w:r>
    </w:p>
    <w:p w14:paraId="42C60411" w14:textId="77777777" w:rsidR="008B387C" w:rsidRPr="00072CC8" w:rsidRDefault="008B387C" w:rsidP="00072CC8">
      <w:pPr>
        <w:pStyle w:val="NoSpacing"/>
        <w:jc w:val="both"/>
        <w:rPr>
          <w:rFonts w:ascii="Titillium" w:hAnsi="Titillium"/>
          <w:sz w:val="20"/>
          <w:szCs w:val="20"/>
        </w:rPr>
      </w:pPr>
      <w:r w:rsidRPr="00072CC8">
        <w:rPr>
          <w:rFonts w:ascii="Titillium" w:hAnsi="Titillium"/>
          <w:sz w:val="20"/>
          <w:szCs w:val="20"/>
        </w:rPr>
        <w:t xml:space="preserve">Telefon: </w:t>
      </w:r>
      <w:r w:rsidRPr="00072CC8">
        <w:rPr>
          <w:rFonts w:ascii="Titillium" w:hAnsi="Titillium"/>
          <w:sz w:val="20"/>
          <w:szCs w:val="20"/>
        </w:rPr>
        <w:tab/>
      </w:r>
      <w:r w:rsidRPr="00072CC8">
        <w:rPr>
          <w:rFonts w:ascii="Titillium" w:hAnsi="Titillium"/>
          <w:sz w:val="20"/>
          <w:szCs w:val="20"/>
        </w:rPr>
        <w:tab/>
      </w:r>
      <w:r w:rsidRPr="00072CC8">
        <w:rPr>
          <w:rFonts w:ascii="Titillium" w:hAnsi="Titillium"/>
          <w:sz w:val="20"/>
          <w:szCs w:val="20"/>
        </w:rPr>
        <w:tab/>
        <w:t xml:space="preserve">01 / 4682 500 </w:t>
      </w:r>
    </w:p>
    <w:p w14:paraId="4196EA93" w14:textId="3E943FC3" w:rsidR="008B387C" w:rsidRPr="00072CC8" w:rsidRDefault="008B387C" w:rsidP="00072CC8">
      <w:pPr>
        <w:pStyle w:val="NoSpacing"/>
        <w:jc w:val="both"/>
        <w:rPr>
          <w:rFonts w:ascii="Titillium" w:hAnsi="Titillium"/>
          <w:sz w:val="20"/>
          <w:szCs w:val="20"/>
        </w:rPr>
      </w:pPr>
      <w:r w:rsidRPr="00072CC8">
        <w:rPr>
          <w:rFonts w:ascii="Titillium" w:hAnsi="Titillium"/>
          <w:sz w:val="20"/>
          <w:szCs w:val="20"/>
        </w:rPr>
        <w:t xml:space="preserve">Telefaks: </w:t>
      </w:r>
      <w:r w:rsidRPr="00072CC8">
        <w:rPr>
          <w:rFonts w:ascii="Titillium" w:hAnsi="Titillium"/>
          <w:sz w:val="20"/>
          <w:szCs w:val="20"/>
        </w:rPr>
        <w:tab/>
      </w:r>
      <w:r w:rsidRPr="00072CC8">
        <w:rPr>
          <w:rFonts w:ascii="Titillium" w:hAnsi="Titillium"/>
          <w:sz w:val="20"/>
          <w:szCs w:val="20"/>
        </w:rPr>
        <w:tab/>
      </w:r>
      <w:r w:rsidRPr="00072CC8">
        <w:rPr>
          <w:rFonts w:ascii="Titillium" w:hAnsi="Titillium"/>
          <w:sz w:val="20"/>
          <w:szCs w:val="20"/>
        </w:rPr>
        <w:tab/>
        <w:t>01</w:t>
      </w:r>
      <w:r w:rsidR="004E10C9">
        <w:rPr>
          <w:rFonts w:ascii="Titillium" w:hAnsi="Titillium"/>
          <w:sz w:val="20"/>
          <w:szCs w:val="20"/>
        </w:rPr>
        <w:t xml:space="preserve"> / 467</w:t>
      </w:r>
      <w:r w:rsidRPr="00072CC8">
        <w:rPr>
          <w:rFonts w:ascii="Titillium" w:hAnsi="Titillium"/>
          <w:sz w:val="20"/>
          <w:szCs w:val="20"/>
        </w:rPr>
        <w:t>3</w:t>
      </w:r>
      <w:r w:rsidR="004E10C9">
        <w:rPr>
          <w:rFonts w:ascii="Titillium" w:hAnsi="Titillium"/>
          <w:sz w:val="20"/>
          <w:szCs w:val="20"/>
        </w:rPr>
        <w:t xml:space="preserve"> 3</w:t>
      </w:r>
      <w:r w:rsidRPr="00072CC8">
        <w:rPr>
          <w:rFonts w:ascii="Titillium" w:hAnsi="Titillium"/>
          <w:sz w:val="20"/>
          <w:szCs w:val="20"/>
        </w:rPr>
        <w:t>03</w:t>
      </w:r>
    </w:p>
    <w:p w14:paraId="55B1E08B" w14:textId="77777777" w:rsidR="008B387C" w:rsidRPr="00072CC8" w:rsidRDefault="008B387C" w:rsidP="00072CC8">
      <w:pPr>
        <w:pStyle w:val="NoSpacing"/>
        <w:jc w:val="both"/>
        <w:rPr>
          <w:rFonts w:ascii="Titillium" w:hAnsi="Titillium"/>
          <w:sz w:val="20"/>
          <w:szCs w:val="20"/>
        </w:rPr>
      </w:pPr>
      <w:r w:rsidRPr="00072CC8">
        <w:rPr>
          <w:rFonts w:ascii="Titillium" w:hAnsi="Titillium"/>
          <w:b/>
          <w:sz w:val="20"/>
          <w:szCs w:val="20"/>
        </w:rPr>
        <w:t>Adresa elektronske pošte:</w:t>
      </w:r>
      <w:r w:rsidRPr="00072CC8">
        <w:rPr>
          <w:rFonts w:ascii="Titillium" w:hAnsi="Titillium"/>
          <w:sz w:val="20"/>
          <w:szCs w:val="20"/>
        </w:rPr>
        <w:t xml:space="preserve"> </w:t>
      </w:r>
      <w:r w:rsidRPr="00072CC8">
        <w:rPr>
          <w:rFonts w:ascii="Titillium" w:hAnsi="Titillium"/>
          <w:sz w:val="20"/>
          <w:szCs w:val="20"/>
        </w:rPr>
        <w:tab/>
      </w:r>
      <w:hyperlink r:id="rId15" w:history="1">
        <w:r w:rsidRPr="00072CC8">
          <w:rPr>
            <w:rStyle w:val="Hyperlink"/>
            <w:rFonts w:ascii="Titillium" w:hAnsi="Titillium"/>
            <w:sz w:val="20"/>
            <w:szCs w:val="20"/>
          </w:rPr>
          <w:t>uprava@imi.hr</w:t>
        </w:r>
      </w:hyperlink>
    </w:p>
    <w:p w14:paraId="240017DA" w14:textId="77777777" w:rsidR="008B387C" w:rsidRPr="00072CC8" w:rsidRDefault="008B387C" w:rsidP="00072CC8">
      <w:pPr>
        <w:pStyle w:val="NoSpacing"/>
        <w:jc w:val="both"/>
        <w:rPr>
          <w:rFonts w:ascii="Titillium" w:hAnsi="Titillium"/>
          <w:sz w:val="20"/>
          <w:szCs w:val="20"/>
        </w:rPr>
      </w:pPr>
      <w:r w:rsidRPr="00072CC8">
        <w:rPr>
          <w:rFonts w:ascii="Titillium" w:hAnsi="Titillium"/>
          <w:b/>
          <w:sz w:val="20"/>
          <w:szCs w:val="20"/>
        </w:rPr>
        <w:t>Internetska adresa:</w:t>
      </w:r>
      <w:r w:rsidRPr="00072CC8">
        <w:rPr>
          <w:rFonts w:ascii="Titillium" w:hAnsi="Titillium"/>
          <w:sz w:val="20"/>
          <w:szCs w:val="20"/>
        </w:rPr>
        <w:t xml:space="preserve"> </w:t>
      </w:r>
      <w:r w:rsidRPr="00072CC8">
        <w:rPr>
          <w:rFonts w:ascii="Titillium" w:hAnsi="Titillium"/>
          <w:sz w:val="20"/>
          <w:szCs w:val="20"/>
        </w:rPr>
        <w:tab/>
      </w:r>
      <w:r w:rsidRPr="00072CC8">
        <w:rPr>
          <w:rFonts w:ascii="Titillium" w:hAnsi="Titillium"/>
          <w:sz w:val="20"/>
          <w:szCs w:val="20"/>
        </w:rPr>
        <w:tab/>
      </w:r>
      <w:hyperlink r:id="rId16" w:history="1">
        <w:r w:rsidRPr="00072CC8">
          <w:rPr>
            <w:rStyle w:val="Hyperlink"/>
            <w:rFonts w:ascii="Titillium" w:hAnsi="Titillium"/>
            <w:sz w:val="20"/>
            <w:szCs w:val="20"/>
          </w:rPr>
          <w:t>www.imi.hr</w:t>
        </w:r>
      </w:hyperlink>
    </w:p>
    <w:p w14:paraId="329FDA7E" w14:textId="77777777" w:rsidR="008B387C" w:rsidRPr="00072CC8" w:rsidRDefault="008B387C" w:rsidP="00072CC8">
      <w:pPr>
        <w:pStyle w:val="NoSpacing"/>
        <w:jc w:val="both"/>
        <w:rPr>
          <w:rFonts w:ascii="Titillium" w:hAnsi="Titillium"/>
          <w:sz w:val="20"/>
          <w:szCs w:val="20"/>
        </w:rPr>
      </w:pPr>
      <w:r w:rsidRPr="00072CC8">
        <w:rPr>
          <w:rFonts w:ascii="Titillium" w:hAnsi="Titillium"/>
          <w:b/>
          <w:sz w:val="20"/>
          <w:szCs w:val="20"/>
        </w:rPr>
        <w:t>Broj žiro računa javnog naručitelja:</w:t>
      </w:r>
      <w:r w:rsidRPr="00072CC8">
        <w:rPr>
          <w:rFonts w:ascii="Titillium" w:hAnsi="Titillium"/>
          <w:sz w:val="20"/>
          <w:szCs w:val="20"/>
        </w:rPr>
        <w:t xml:space="preserve"> 2360000 - 1101214035</w:t>
      </w:r>
    </w:p>
    <w:p w14:paraId="398DD483" w14:textId="77777777" w:rsidR="008B387C" w:rsidRPr="00072CC8" w:rsidRDefault="008B387C" w:rsidP="00072CC8">
      <w:pPr>
        <w:pStyle w:val="NoSpacing"/>
        <w:jc w:val="both"/>
        <w:rPr>
          <w:rFonts w:ascii="Titillium" w:hAnsi="Titillium"/>
          <w:sz w:val="20"/>
          <w:szCs w:val="20"/>
        </w:rPr>
      </w:pPr>
      <w:r w:rsidRPr="00072CC8">
        <w:rPr>
          <w:rFonts w:ascii="Titillium" w:hAnsi="Titillium"/>
          <w:b/>
          <w:sz w:val="20"/>
          <w:szCs w:val="20"/>
        </w:rPr>
        <w:t xml:space="preserve">IBAN </w:t>
      </w:r>
      <w:r w:rsidRPr="00072CC8">
        <w:rPr>
          <w:rFonts w:ascii="Titillium" w:hAnsi="Titillium"/>
          <w:sz w:val="20"/>
          <w:szCs w:val="20"/>
        </w:rPr>
        <w:t>HR 6923600001101214035</w:t>
      </w:r>
    </w:p>
    <w:p w14:paraId="111E7D09" w14:textId="77777777" w:rsidR="008B387C" w:rsidRPr="008B387C" w:rsidRDefault="008B387C" w:rsidP="00072CC8">
      <w:pPr>
        <w:pStyle w:val="NoSpacing"/>
        <w:jc w:val="both"/>
        <w:rPr>
          <w:rFonts w:ascii="Titillium" w:hAnsi="Titillium"/>
          <w:sz w:val="20"/>
          <w:szCs w:val="20"/>
        </w:rPr>
      </w:pPr>
    </w:p>
    <w:p w14:paraId="59AF74C5" w14:textId="77777777" w:rsidR="00A609F4" w:rsidRPr="00F44709" w:rsidRDefault="00A609F4" w:rsidP="00072CC8">
      <w:pPr>
        <w:pStyle w:val="NoSpacing"/>
        <w:jc w:val="both"/>
        <w:rPr>
          <w:rFonts w:ascii="Titillium" w:hAnsi="Titillium"/>
          <w:b/>
          <w:sz w:val="20"/>
          <w:szCs w:val="20"/>
        </w:rPr>
      </w:pPr>
      <w:r>
        <w:rPr>
          <w:rFonts w:ascii="Titillium" w:hAnsi="Titillium"/>
          <w:b/>
          <w:sz w:val="20"/>
          <w:szCs w:val="20"/>
        </w:rPr>
        <w:t>1.1</w:t>
      </w:r>
      <w:r w:rsidRPr="00F44709">
        <w:rPr>
          <w:rFonts w:ascii="Titillium" w:hAnsi="Titillium"/>
          <w:b/>
          <w:sz w:val="20"/>
          <w:szCs w:val="20"/>
        </w:rPr>
        <w:t>.</w:t>
      </w:r>
      <w:r w:rsidRPr="00F44709">
        <w:rPr>
          <w:rFonts w:ascii="Titillium" w:hAnsi="Titillium"/>
          <w:b/>
          <w:sz w:val="20"/>
          <w:szCs w:val="20"/>
        </w:rPr>
        <w:tab/>
      </w:r>
      <w:r>
        <w:rPr>
          <w:rFonts w:ascii="Titillium" w:hAnsi="Titillium"/>
          <w:b/>
          <w:sz w:val="20"/>
          <w:szCs w:val="20"/>
        </w:rPr>
        <w:t>Kontakt osoba zadužena za komunikaciju s ponuditeljima</w:t>
      </w:r>
    </w:p>
    <w:p w14:paraId="3B1F93BE" w14:textId="77777777" w:rsidR="008B387C" w:rsidRPr="00072CC8" w:rsidRDefault="008B387C" w:rsidP="00072CC8">
      <w:pPr>
        <w:pStyle w:val="NoSpacing"/>
        <w:spacing w:line="276" w:lineRule="auto"/>
        <w:jc w:val="both"/>
        <w:rPr>
          <w:rFonts w:ascii="Titillium" w:hAnsi="Titillium"/>
          <w:sz w:val="20"/>
          <w:szCs w:val="20"/>
        </w:rPr>
      </w:pPr>
      <w:r w:rsidRPr="00072CC8">
        <w:rPr>
          <w:rFonts w:ascii="Titillium" w:hAnsi="Titillium"/>
          <w:sz w:val="20"/>
          <w:szCs w:val="20"/>
        </w:rPr>
        <w:t xml:space="preserve">Spomenka </w:t>
      </w:r>
      <w:proofErr w:type="spellStart"/>
      <w:r w:rsidRPr="00072CC8">
        <w:rPr>
          <w:rFonts w:ascii="Titillium" w:hAnsi="Titillium"/>
          <w:sz w:val="20"/>
          <w:szCs w:val="20"/>
        </w:rPr>
        <w:t>Stankić</w:t>
      </w:r>
      <w:proofErr w:type="spellEnd"/>
      <w:r w:rsidRPr="00072CC8">
        <w:rPr>
          <w:rFonts w:ascii="Titillium" w:hAnsi="Titillium"/>
          <w:sz w:val="20"/>
          <w:szCs w:val="20"/>
        </w:rPr>
        <w:t xml:space="preserve"> </w:t>
      </w:r>
      <w:proofErr w:type="spellStart"/>
      <w:r w:rsidRPr="00072CC8">
        <w:rPr>
          <w:rFonts w:ascii="Titillium" w:hAnsi="Titillium"/>
          <w:sz w:val="20"/>
          <w:szCs w:val="20"/>
        </w:rPr>
        <w:t>Drobnjak</w:t>
      </w:r>
      <w:proofErr w:type="spellEnd"/>
      <w:r w:rsidRPr="00072CC8">
        <w:rPr>
          <w:rFonts w:ascii="Titillium" w:hAnsi="Titillium"/>
          <w:sz w:val="20"/>
          <w:szCs w:val="20"/>
        </w:rPr>
        <w:t xml:space="preserve">, </w:t>
      </w:r>
      <w:proofErr w:type="spellStart"/>
      <w:r w:rsidRPr="00072CC8">
        <w:rPr>
          <w:rFonts w:ascii="Titillium" w:hAnsi="Titillium"/>
          <w:sz w:val="20"/>
          <w:szCs w:val="20"/>
        </w:rPr>
        <w:t>dipl.iur</w:t>
      </w:r>
      <w:proofErr w:type="spellEnd"/>
      <w:r w:rsidRPr="00072CC8">
        <w:rPr>
          <w:rFonts w:ascii="Titillium" w:hAnsi="Titillium"/>
          <w:sz w:val="20"/>
          <w:szCs w:val="20"/>
        </w:rPr>
        <w:t>.</w:t>
      </w:r>
    </w:p>
    <w:p w14:paraId="4573A243" w14:textId="77777777" w:rsidR="008B387C" w:rsidRPr="00072CC8" w:rsidRDefault="008B387C" w:rsidP="00072CC8">
      <w:pPr>
        <w:pStyle w:val="NoSpacing"/>
        <w:spacing w:line="276" w:lineRule="auto"/>
        <w:jc w:val="both"/>
        <w:rPr>
          <w:rFonts w:ascii="Titillium" w:hAnsi="Titillium"/>
          <w:sz w:val="20"/>
          <w:szCs w:val="20"/>
        </w:rPr>
      </w:pPr>
      <w:r w:rsidRPr="00072CC8">
        <w:rPr>
          <w:rFonts w:ascii="Titillium" w:hAnsi="Titillium"/>
          <w:sz w:val="20"/>
          <w:szCs w:val="20"/>
        </w:rPr>
        <w:t xml:space="preserve">Telefon: 01/ 4682 504 </w:t>
      </w:r>
    </w:p>
    <w:p w14:paraId="0024ADB3" w14:textId="75949A3F" w:rsidR="008B387C" w:rsidRPr="00072CC8" w:rsidRDefault="00EE255D" w:rsidP="00072CC8">
      <w:pPr>
        <w:pStyle w:val="NoSpacing"/>
        <w:spacing w:line="276" w:lineRule="auto"/>
        <w:jc w:val="both"/>
        <w:rPr>
          <w:rFonts w:ascii="Titillium" w:hAnsi="Titillium"/>
          <w:sz w:val="20"/>
          <w:szCs w:val="20"/>
        </w:rPr>
      </w:pPr>
      <w:r>
        <w:rPr>
          <w:rFonts w:ascii="Titillium" w:hAnsi="Titillium"/>
          <w:sz w:val="20"/>
          <w:szCs w:val="20"/>
        </w:rPr>
        <w:t>Telefaks: 01 / 467</w:t>
      </w:r>
      <w:r w:rsidR="008B387C" w:rsidRPr="00072CC8">
        <w:rPr>
          <w:rFonts w:ascii="Titillium" w:hAnsi="Titillium"/>
          <w:sz w:val="20"/>
          <w:szCs w:val="20"/>
        </w:rPr>
        <w:t>3</w:t>
      </w:r>
      <w:r>
        <w:rPr>
          <w:rFonts w:ascii="Titillium" w:hAnsi="Titillium"/>
          <w:sz w:val="20"/>
          <w:szCs w:val="20"/>
        </w:rPr>
        <w:t xml:space="preserve"> 3</w:t>
      </w:r>
      <w:r w:rsidR="008B387C" w:rsidRPr="00072CC8">
        <w:rPr>
          <w:rFonts w:ascii="Titillium" w:hAnsi="Titillium"/>
          <w:sz w:val="20"/>
          <w:szCs w:val="20"/>
        </w:rPr>
        <w:t xml:space="preserve">03 </w:t>
      </w:r>
    </w:p>
    <w:p w14:paraId="1A2858D6" w14:textId="77777777" w:rsidR="008B387C" w:rsidRPr="00072CC8" w:rsidRDefault="008B387C" w:rsidP="00072CC8">
      <w:pPr>
        <w:pStyle w:val="NoSpacing"/>
        <w:spacing w:line="276" w:lineRule="auto"/>
        <w:jc w:val="both"/>
        <w:rPr>
          <w:rFonts w:ascii="Titillium" w:hAnsi="Titillium"/>
          <w:sz w:val="20"/>
          <w:szCs w:val="20"/>
        </w:rPr>
      </w:pPr>
      <w:r w:rsidRPr="00072CC8">
        <w:rPr>
          <w:rFonts w:ascii="Titillium" w:hAnsi="Titillium"/>
          <w:sz w:val="20"/>
          <w:szCs w:val="20"/>
        </w:rPr>
        <w:t xml:space="preserve">Adresa elektronske pošte: </w:t>
      </w:r>
      <w:hyperlink r:id="rId17" w:history="1">
        <w:r w:rsidRPr="00072CC8">
          <w:rPr>
            <w:rStyle w:val="Hyperlink"/>
            <w:rFonts w:ascii="Titillium" w:hAnsi="Titillium"/>
            <w:sz w:val="20"/>
            <w:szCs w:val="20"/>
          </w:rPr>
          <w:t>drobnjak@imi.hr</w:t>
        </w:r>
      </w:hyperlink>
    </w:p>
    <w:p w14:paraId="18E4D50D" w14:textId="77777777" w:rsidR="008B387C" w:rsidRPr="00072CC8" w:rsidRDefault="008B387C" w:rsidP="00072CC8">
      <w:pPr>
        <w:pStyle w:val="NoSpacing"/>
        <w:jc w:val="both"/>
        <w:rPr>
          <w:rFonts w:ascii="Titillium" w:hAnsi="Titillium"/>
          <w:sz w:val="20"/>
          <w:szCs w:val="20"/>
        </w:rPr>
      </w:pPr>
    </w:p>
    <w:p w14:paraId="1DCE0443" w14:textId="77777777" w:rsidR="008B387C" w:rsidRPr="00072CC8" w:rsidRDefault="008B387C" w:rsidP="006F7576">
      <w:pPr>
        <w:pStyle w:val="NoSpacing"/>
        <w:jc w:val="both"/>
        <w:rPr>
          <w:rFonts w:ascii="Titillium" w:hAnsi="Titillium"/>
          <w:sz w:val="20"/>
          <w:szCs w:val="20"/>
        </w:rPr>
      </w:pPr>
      <w:r w:rsidRPr="00072CC8">
        <w:rPr>
          <w:rFonts w:ascii="Titillium" w:hAnsi="Titillium"/>
          <w:sz w:val="20"/>
          <w:szCs w:val="20"/>
        </w:rPr>
        <w:t>Komunikacija i svaka druga razmjena informacija/podataka između Naručitelja i gospodarskih subjekata može se obavljati isključivo na hrvatskom jeziku putem sustava Elektroničkog oglasnika javne nabave Republike Hrvatske (dalje: EOJN RH) .</w:t>
      </w:r>
    </w:p>
    <w:p w14:paraId="03862E47" w14:textId="77777777" w:rsidR="008B387C" w:rsidRPr="00072CC8" w:rsidRDefault="008B387C" w:rsidP="006F7576">
      <w:pPr>
        <w:pStyle w:val="NoSpacing"/>
        <w:jc w:val="both"/>
        <w:rPr>
          <w:rFonts w:ascii="Titillium" w:hAnsi="Titillium"/>
          <w:sz w:val="20"/>
          <w:szCs w:val="20"/>
        </w:rPr>
      </w:pPr>
    </w:p>
    <w:p w14:paraId="4DAA1EBA" w14:textId="4DC20F46" w:rsidR="008B387C" w:rsidRPr="00072CC8" w:rsidRDefault="008B387C" w:rsidP="006F7576">
      <w:pPr>
        <w:pStyle w:val="NoSpacing"/>
        <w:jc w:val="both"/>
        <w:rPr>
          <w:rFonts w:ascii="Titillium" w:hAnsi="Titillium"/>
          <w:sz w:val="20"/>
          <w:szCs w:val="20"/>
        </w:rPr>
      </w:pPr>
      <w:r w:rsidRPr="00072CC8">
        <w:rPr>
          <w:rFonts w:ascii="Titillium" w:hAnsi="Titillium"/>
          <w:sz w:val="20"/>
          <w:szCs w:val="20"/>
        </w:rPr>
        <w:t xml:space="preserve">Detaljne upute o načinu komunikacije između gospodarskih subjekata i naručitelja u roku za dostavu ponuda putem sustava EOJN RH-a dostupne su na stranicama Oglasnika, na adresi: </w:t>
      </w:r>
      <w:hyperlink r:id="rId18" w:history="1">
        <w:r w:rsidRPr="00072CC8">
          <w:rPr>
            <w:rStyle w:val="Hyperlink"/>
            <w:rFonts w:ascii="Titillium" w:hAnsi="Titillium"/>
            <w:sz w:val="20"/>
            <w:szCs w:val="20"/>
          </w:rPr>
          <w:t>https://eojn.nn.hr/Oglasnik/</w:t>
        </w:r>
      </w:hyperlink>
      <w:r w:rsidRPr="00072CC8">
        <w:rPr>
          <w:rFonts w:ascii="Titillium" w:hAnsi="Titillium"/>
          <w:sz w:val="20"/>
          <w:szCs w:val="20"/>
        </w:rPr>
        <w:t>. Iznimno, u skladu s člankom 63. ZJN 2016, Naručitelj i gospodarski subjekti mogu komunicirati usmenim putem ako se ta komunikacija ne odnosi na ključne elemente postupka javne nabave, pod uvjetom da je njezin sadržaj u zadovoljavajućoj mjeri dokumentiran. Ključ</w:t>
      </w:r>
      <w:r w:rsidR="00EE255D">
        <w:rPr>
          <w:rFonts w:ascii="Titillium" w:hAnsi="Titillium"/>
          <w:sz w:val="20"/>
          <w:szCs w:val="20"/>
        </w:rPr>
        <w:t>ni elementi u otvorenom postupku</w:t>
      </w:r>
      <w:r w:rsidRPr="00072CC8">
        <w:rPr>
          <w:rFonts w:ascii="Titillium" w:hAnsi="Titillium"/>
          <w:sz w:val="20"/>
          <w:szCs w:val="20"/>
        </w:rPr>
        <w:t xml:space="preserve"> javne nabave uključuju dokumentaciju o nabavi i ponude. Usmena komunikacija s ponuditeljima koja bi mogla znatno utjecati na sadržaj i ocjenu ponuda mora biti u zadovoljavajućoj mjeri i na prikladan način dokumentirana, primjerice sastavljanjem pisanih bilješki ili zapisnika, </w:t>
      </w:r>
      <w:proofErr w:type="spellStart"/>
      <w:r w:rsidRPr="00072CC8">
        <w:rPr>
          <w:rFonts w:ascii="Titillium" w:hAnsi="Titillium"/>
          <w:sz w:val="20"/>
          <w:szCs w:val="20"/>
        </w:rPr>
        <w:t>audiosnimki</w:t>
      </w:r>
      <w:proofErr w:type="spellEnd"/>
      <w:r w:rsidRPr="00072CC8">
        <w:rPr>
          <w:rFonts w:ascii="Titillium" w:hAnsi="Titillium"/>
          <w:sz w:val="20"/>
          <w:szCs w:val="20"/>
        </w:rPr>
        <w:t xml:space="preserve"> ili sažetaka glavnih elemenata komunikacije i slično.</w:t>
      </w:r>
    </w:p>
    <w:p w14:paraId="1269A39C" w14:textId="77777777" w:rsidR="008B387C" w:rsidRPr="00072CC8" w:rsidRDefault="008B387C" w:rsidP="00EE255D">
      <w:pPr>
        <w:pStyle w:val="NoSpacing"/>
        <w:jc w:val="both"/>
        <w:rPr>
          <w:rFonts w:ascii="Titillium" w:hAnsi="Titillium"/>
          <w:sz w:val="20"/>
          <w:szCs w:val="20"/>
        </w:rPr>
      </w:pPr>
    </w:p>
    <w:p w14:paraId="79B64992" w14:textId="77777777" w:rsidR="008B387C" w:rsidRPr="00072CC8" w:rsidRDefault="008B387C" w:rsidP="00EE255D">
      <w:pPr>
        <w:pStyle w:val="NoSpacing"/>
        <w:jc w:val="both"/>
        <w:rPr>
          <w:rFonts w:ascii="Titillium" w:hAnsi="Titillium"/>
          <w:sz w:val="20"/>
          <w:szCs w:val="20"/>
        </w:rPr>
      </w:pPr>
      <w:r w:rsidRPr="00072CC8">
        <w:rPr>
          <w:rFonts w:ascii="Titillium" w:hAnsi="Titillium"/>
          <w:sz w:val="20"/>
          <w:szCs w:val="20"/>
        </w:rPr>
        <w:t>Gospodarski subjekt može zahtijevati dodatne informacije, objašnjenja ili izmjene u vezi s dokumentacijom o nabavi tijekom roka za dostavu ponuda. Zainteresirani gospodarski subjekti zahtjeve za dodatne informacije, objašnjenja ili izmjene u vezi s dokumentacijom o nabavi, Naručitelju dostavljaju isključivo putem EOJN RH.</w:t>
      </w:r>
    </w:p>
    <w:p w14:paraId="61316531" w14:textId="30ED2FBB" w:rsidR="008B387C" w:rsidRPr="00072CC8" w:rsidRDefault="008B387C" w:rsidP="006F7576">
      <w:pPr>
        <w:pStyle w:val="NoSpacing"/>
        <w:jc w:val="both"/>
        <w:rPr>
          <w:rFonts w:ascii="Titillium" w:hAnsi="Titillium"/>
          <w:sz w:val="20"/>
          <w:szCs w:val="20"/>
        </w:rPr>
      </w:pPr>
      <w:r w:rsidRPr="00072CC8">
        <w:rPr>
          <w:rFonts w:ascii="Titillium" w:hAnsi="Titillium"/>
          <w:sz w:val="20"/>
          <w:szCs w:val="20"/>
        </w:rPr>
        <w:t xml:space="preserve">Pod uvjetom da je zahtjev dostavljen pravodobno, javni naručitelj obvezan je odgovor, dodatne informacije i objašnjenja bez </w:t>
      </w:r>
      <w:r w:rsidR="007D6A90">
        <w:rPr>
          <w:rFonts w:ascii="Titillium" w:hAnsi="Titillium"/>
          <w:sz w:val="20"/>
          <w:szCs w:val="20"/>
        </w:rPr>
        <w:t>odgode, a najkasnije tijekom šestog</w:t>
      </w:r>
      <w:r w:rsidRPr="00072CC8">
        <w:rPr>
          <w:rFonts w:ascii="Titillium" w:hAnsi="Titillium"/>
          <w:sz w:val="20"/>
          <w:szCs w:val="20"/>
        </w:rPr>
        <w:t xml:space="preserve"> dana prije roka određenog za dostavu ponuda staviti na raspolaganje na isti način i na istim internetskim stranicama kao i osnovnu dokumentaciju (https://eojn.nn.hr/Oglasnik), bez navođenja podataka o podnositelju zahtjeva. Zahtjev je pravodoban ako je dost</w:t>
      </w:r>
      <w:r w:rsidR="007D6A90">
        <w:rPr>
          <w:rFonts w:ascii="Titillium" w:hAnsi="Titillium"/>
          <w:sz w:val="20"/>
          <w:szCs w:val="20"/>
        </w:rPr>
        <w:t>avljen najkasnije tijekom osmog</w:t>
      </w:r>
      <w:r w:rsidRPr="00072CC8">
        <w:rPr>
          <w:rFonts w:ascii="Titillium" w:hAnsi="Titillium"/>
          <w:sz w:val="20"/>
          <w:szCs w:val="20"/>
        </w:rPr>
        <w:t xml:space="preserve"> dana prije roka određenog za dostavu ponuda.</w:t>
      </w:r>
    </w:p>
    <w:p w14:paraId="3F03EC15" w14:textId="77777777" w:rsidR="008B387C" w:rsidRDefault="008B387C" w:rsidP="008B387C">
      <w:pPr>
        <w:pStyle w:val="NoSpacing"/>
        <w:rPr>
          <w:rFonts w:ascii="Titillium" w:hAnsi="Titillium"/>
          <w:sz w:val="20"/>
          <w:szCs w:val="20"/>
        </w:rPr>
      </w:pPr>
    </w:p>
    <w:p w14:paraId="1484AEF5" w14:textId="77777777" w:rsidR="00F44709" w:rsidRPr="00F44709" w:rsidRDefault="00F44709" w:rsidP="00F44709">
      <w:pPr>
        <w:pStyle w:val="NoSpacing"/>
        <w:rPr>
          <w:rFonts w:ascii="Titillium" w:hAnsi="Titillium"/>
          <w:b/>
          <w:sz w:val="20"/>
          <w:szCs w:val="20"/>
        </w:rPr>
      </w:pPr>
      <w:r w:rsidRPr="00F44709">
        <w:rPr>
          <w:rFonts w:ascii="Titillium" w:hAnsi="Titillium"/>
          <w:b/>
          <w:sz w:val="20"/>
          <w:szCs w:val="20"/>
        </w:rPr>
        <w:t>1.2.</w:t>
      </w:r>
      <w:r w:rsidRPr="00F44709">
        <w:rPr>
          <w:rFonts w:ascii="Titillium" w:hAnsi="Titillium"/>
          <w:b/>
          <w:sz w:val="20"/>
          <w:szCs w:val="20"/>
        </w:rPr>
        <w:tab/>
        <w:t>Evidencijski broj nabave</w:t>
      </w:r>
    </w:p>
    <w:p w14:paraId="4138B1DD" w14:textId="23990A39" w:rsidR="002A6078" w:rsidRDefault="00364812" w:rsidP="00F44709">
      <w:pPr>
        <w:pStyle w:val="NoSpacing"/>
        <w:rPr>
          <w:rFonts w:ascii="Titillium" w:hAnsi="Titillium"/>
          <w:sz w:val="20"/>
          <w:szCs w:val="20"/>
        </w:rPr>
      </w:pPr>
      <w:r w:rsidRPr="00576598">
        <w:rPr>
          <w:rFonts w:ascii="Titillium" w:hAnsi="Titillium"/>
          <w:sz w:val="20"/>
          <w:szCs w:val="20"/>
        </w:rPr>
        <w:t>JN-OP-</w:t>
      </w:r>
      <w:r w:rsidR="00576598">
        <w:rPr>
          <w:rFonts w:ascii="Titillium" w:hAnsi="Titillium"/>
          <w:sz w:val="20"/>
          <w:szCs w:val="20"/>
        </w:rPr>
        <w:t>VV-02</w:t>
      </w:r>
      <w:r w:rsidR="00F44709" w:rsidRPr="00576598">
        <w:rPr>
          <w:rFonts w:ascii="Titillium" w:hAnsi="Titillium"/>
          <w:sz w:val="20"/>
          <w:szCs w:val="20"/>
        </w:rPr>
        <w:t>/18</w:t>
      </w:r>
    </w:p>
    <w:p w14:paraId="370C425A" w14:textId="77777777" w:rsidR="00273C29" w:rsidRPr="00F44709" w:rsidRDefault="00273C29" w:rsidP="00F44709">
      <w:pPr>
        <w:pStyle w:val="NoSpacing"/>
        <w:rPr>
          <w:rFonts w:ascii="Titillium" w:hAnsi="Titillium"/>
          <w:sz w:val="20"/>
          <w:szCs w:val="20"/>
        </w:rPr>
      </w:pPr>
    </w:p>
    <w:p w14:paraId="6C5A5314" w14:textId="77777777" w:rsidR="00F44709" w:rsidRPr="00F44709" w:rsidRDefault="00F44709" w:rsidP="00F44709">
      <w:pPr>
        <w:pStyle w:val="NoSpacing"/>
        <w:rPr>
          <w:rFonts w:ascii="Titillium" w:hAnsi="Titillium"/>
          <w:b/>
          <w:sz w:val="20"/>
          <w:szCs w:val="20"/>
        </w:rPr>
      </w:pPr>
      <w:r w:rsidRPr="00F44709">
        <w:rPr>
          <w:rFonts w:ascii="Titillium" w:hAnsi="Titillium"/>
          <w:b/>
          <w:sz w:val="20"/>
          <w:szCs w:val="20"/>
        </w:rPr>
        <w:t>1.3.</w:t>
      </w:r>
      <w:r w:rsidRPr="00F44709">
        <w:rPr>
          <w:rFonts w:ascii="Titillium" w:hAnsi="Titillium"/>
          <w:b/>
          <w:sz w:val="20"/>
          <w:szCs w:val="20"/>
        </w:rPr>
        <w:tab/>
        <w:t>Sprječavanje sukoba interesa</w:t>
      </w:r>
    </w:p>
    <w:p w14:paraId="6032250B" w14:textId="77777777" w:rsidR="00F44709" w:rsidRPr="00F44709" w:rsidRDefault="00F44709" w:rsidP="00612BF5">
      <w:pPr>
        <w:pStyle w:val="NoSpacing"/>
        <w:jc w:val="both"/>
        <w:rPr>
          <w:rFonts w:ascii="Titillium" w:hAnsi="Titillium"/>
          <w:sz w:val="20"/>
          <w:szCs w:val="20"/>
        </w:rPr>
      </w:pPr>
      <w:r w:rsidRPr="00F44709">
        <w:rPr>
          <w:rFonts w:ascii="Titillium" w:hAnsi="Titillium"/>
          <w:sz w:val="20"/>
          <w:szCs w:val="20"/>
        </w:rPr>
        <w:t>U smislu članka 75.- 83. ZJN 2016, popis gospodarskih subjekata s kojima je naručitelj u sukobu interesa:</w:t>
      </w:r>
    </w:p>
    <w:p w14:paraId="7EC3FDB8" w14:textId="77777777" w:rsidR="00F44709" w:rsidRPr="00F44709" w:rsidRDefault="00F44709" w:rsidP="00612BF5">
      <w:pPr>
        <w:pStyle w:val="NoSpacing"/>
        <w:jc w:val="both"/>
        <w:rPr>
          <w:rFonts w:ascii="Titillium" w:hAnsi="Titillium"/>
          <w:sz w:val="20"/>
          <w:szCs w:val="20"/>
        </w:rPr>
      </w:pPr>
      <w:r w:rsidRPr="00F44709">
        <w:rPr>
          <w:rFonts w:ascii="Titillium" w:hAnsi="Titillium"/>
          <w:sz w:val="20"/>
          <w:szCs w:val="20"/>
        </w:rPr>
        <w:t>1.</w:t>
      </w:r>
      <w:r w:rsidRPr="00F44709">
        <w:rPr>
          <w:rFonts w:ascii="Titillium" w:hAnsi="Titillium"/>
          <w:sz w:val="20"/>
          <w:szCs w:val="20"/>
        </w:rPr>
        <w:tab/>
        <w:t xml:space="preserve">JEZIČNI LABORATORIJ d.o.o., </w:t>
      </w:r>
      <w:proofErr w:type="spellStart"/>
      <w:r w:rsidRPr="00F44709">
        <w:rPr>
          <w:rFonts w:ascii="Titillium" w:hAnsi="Titillium"/>
          <w:sz w:val="20"/>
          <w:szCs w:val="20"/>
        </w:rPr>
        <w:t>Lj</w:t>
      </w:r>
      <w:proofErr w:type="spellEnd"/>
      <w:r w:rsidRPr="00F44709">
        <w:rPr>
          <w:rFonts w:ascii="Titillium" w:hAnsi="Titillium"/>
          <w:sz w:val="20"/>
          <w:szCs w:val="20"/>
        </w:rPr>
        <w:t xml:space="preserve">. Posavskog 32 B, 10000 Zagreb, OIB: 39167843344. </w:t>
      </w:r>
    </w:p>
    <w:p w14:paraId="3FE97D2C" w14:textId="77777777" w:rsidR="00F44709" w:rsidRPr="00F44709" w:rsidRDefault="00F44709" w:rsidP="00612BF5">
      <w:pPr>
        <w:pStyle w:val="NoSpacing"/>
        <w:jc w:val="both"/>
        <w:rPr>
          <w:rFonts w:ascii="Titillium" w:hAnsi="Titillium"/>
          <w:sz w:val="20"/>
          <w:szCs w:val="20"/>
        </w:rPr>
      </w:pPr>
      <w:r w:rsidRPr="00F44709">
        <w:rPr>
          <w:rFonts w:ascii="Titillium" w:hAnsi="Titillium"/>
          <w:sz w:val="20"/>
          <w:szCs w:val="20"/>
        </w:rPr>
        <w:t>2.</w:t>
      </w:r>
      <w:r w:rsidRPr="00F44709">
        <w:rPr>
          <w:rFonts w:ascii="Titillium" w:hAnsi="Titillium"/>
          <w:sz w:val="20"/>
          <w:szCs w:val="20"/>
        </w:rPr>
        <w:tab/>
        <w:t>INAT-VK j.d.o.o., Stjepana Radića 27, 32100 Vinkovci, OIB: 92901034410,</w:t>
      </w:r>
    </w:p>
    <w:p w14:paraId="7B73C83D" w14:textId="77777777" w:rsidR="00F44709" w:rsidRDefault="00F44709" w:rsidP="00612BF5">
      <w:pPr>
        <w:pStyle w:val="NoSpacing"/>
        <w:jc w:val="both"/>
        <w:rPr>
          <w:rFonts w:ascii="Titillium" w:hAnsi="Titillium"/>
          <w:sz w:val="20"/>
          <w:szCs w:val="20"/>
        </w:rPr>
      </w:pPr>
      <w:r w:rsidRPr="00F44709">
        <w:rPr>
          <w:rFonts w:ascii="Titillium" w:hAnsi="Titillium"/>
          <w:sz w:val="20"/>
          <w:szCs w:val="20"/>
        </w:rPr>
        <w:t>3.</w:t>
      </w:r>
      <w:r w:rsidRPr="00F44709">
        <w:rPr>
          <w:rFonts w:ascii="Titillium" w:hAnsi="Titillium"/>
          <w:sz w:val="20"/>
          <w:szCs w:val="20"/>
        </w:rPr>
        <w:tab/>
        <w:t xml:space="preserve">ANGELA d.o.o., </w:t>
      </w:r>
      <w:proofErr w:type="spellStart"/>
      <w:r w:rsidRPr="00F44709">
        <w:rPr>
          <w:rFonts w:ascii="Titillium" w:hAnsi="Titillium"/>
          <w:sz w:val="20"/>
          <w:szCs w:val="20"/>
        </w:rPr>
        <w:t>Biškupečka</w:t>
      </w:r>
      <w:proofErr w:type="spellEnd"/>
      <w:r w:rsidRPr="00F44709">
        <w:rPr>
          <w:rFonts w:ascii="Titillium" w:hAnsi="Titillium"/>
          <w:sz w:val="20"/>
          <w:szCs w:val="20"/>
        </w:rPr>
        <w:t xml:space="preserve"> 13, 42000 Varaždin, OIB: 00537820299</w:t>
      </w:r>
    </w:p>
    <w:p w14:paraId="23D5C266" w14:textId="77777777" w:rsidR="00434F63" w:rsidRPr="00F44709" w:rsidRDefault="00434F63" w:rsidP="00612BF5">
      <w:pPr>
        <w:pStyle w:val="NoSpacing"/>
        <w:jc w:val="both"/>
        <w:rPr>
          <w:rFonts w:ascii="Titillium" w:hAnsi="Titillium"/>
          <w:sz w:val="20"/>
          <w:szCs w:val="20"/>
        </w:rPr>
      </w:pPr>
    </w:p>
    <w:p w14:paraId="5A8F8ECE" w14:textId="77777777" w:rsidR="007F0429" w:rsidRDefault="00F44709" w:rsidP="00612BF5">
      <w:pPr>
        <w:pStyle w:val="NoSpacing"/>
        <w:jc w:val="both"/>
        <w:rPr>
          <w:rFonts w:ascii="Titillium" w:hAnsi="Titillium"/>
          <w:sz w:val="20"/>
          <w:szCs w:val="20"/>
        </w:rPr>
      </w:pPr>
      <w:r w:rsidRPr="00F44709">
        <w:rPr>
          <w:rFonts w:ascii="Titillium" w:hAnsi="Titillium"/>
          <w:sz w:val="20"/>
          <w:szCs w:val="20"/>
        </w:rPr>
        <w:t>4.</w:t>
      </w:r>
      <w:r w:rsidRPr="00F44709">
        <w:rPr>
          <w:rFonts w:ascii="Titillium" w:hAnsi="Titillium"/>
          <w:sz w:val="20"/>
          <w:szCs w:val="20"/>
        </w:rPr>
        <w:tab/>
        <w:t>PRICEWATERHOUSECOOPERS d.o.o., Ulica kneza Ljudevita Posa</w:t>
      </w:r>
      <w:r w:rsidR="007F0429">
        <w:rPr>
          <w:rFonts w:ascii="Titillium" w:hAnsi="Titillium"/>
          <w:sz w:val="20"/>
          <w:szCs w:val="20"/>
        </w:rPr>
        <w:t>vskog 31/VI, 10000 Zagreb, OIB:</w:t>
      </w:r>
    </w:p>
    <w:p w14:paraId="5066672D" w14:textId="77777777" w:rsidR="00F44709" w:rsidRPr="00F44709" w:rsidRDefault="007F0429" w:rsidP="00612BF5">
      <w:pPr>
        <w:pStyle w:val="NoSpacing"/>
        <w:jc w:val="both"/>
        <w:rPr>
          <w:rFonts w:ascii="Titillium" w:hAnsi="Titillium"/>
          <w:sz w:val="20"/>
          <w:szCs w:val="20"/>
        </w:rPr>
      </w:pPr>
      <w:r>
        <w:rPr>
          <w:rFonts w:ascii="Titillium" w:hAnsi="Titillium"/>
          <w:sz w:val="20"/>
          <w:szCs w:val="20"/>
        </w:rPr>
        <w:t xml:space="preserve">                </w:t>
      </w:r>
      <w:r w:rsidR="00F44709" w:rsidRPr="00F44709">
        <w:rPr>
          <w:rFonts w:ascii="Titillium" w:hAnsi="Titillium"/>
          <w:sz w:val="20"/>
          <w:szCs w:val="20"/>
        </w:rPr>
        <w:t>81744835353</w:t>
      </w:r>
    </w:p>
    <w:p w14:paraId="03910A3C" w14:textId="77777777" w:rsidR="00F44709" w:rsidRPr="00F44709" w:rsidRDefault="00F44709" w:rsidP="00612BF5">
      <w:pPr>
        <w:pStyle w:val="NoSpacing"/>
        <w:jc w:val="both"/>
        <w:rPr>
          <w:rFonts w:ascii="Titillium" w:hAnsi="Titillium"/>
          <w:sz w:val="20"/>
          <w:szCs w:val="20"/>
        </w:rPr>
      </w:pPr>
      <w:r w:rsidRPr="00F44709">
        <w:rPr>
          <w:rFonts w:ascii="Titillium" w:hAnsi="Titillium"/>
          <w:sz w:val="20"/>
          <w:szCs w:val="20"/>
        </w:rPr>
        <w:t>5.</w:t>
      </w:r>
      <w:r w:rsidRPr="00F44709">
        <w:rPr>
          <w:rFonts w:ascii="Titillium" w:hAnsi="Titillium"/>
          <w:sz w:val="20"/>
          <w:szCs w:val="20"/>
        </w:rPr>
        <w:tab/>
        <w:t>EKOINTEL d.o.o., Matije Ivanića 13, 10000 Zagreb, OIB: 54505146853</w:t>
      </w:r>
    </w:p>
    <w:p w14:paraId="6E424DF3" w14:textId="77777777" w:rsidR="00F44709" w:rsidRPr="00F44709" w:rsidRDefault="00F44709" w:rsidP="00612BF5">
      <w:pPr>
        <w:pStyle w:val="NoSpacing"/>
        <w:jc w:val="both"/>
        <w:rPr>
          <w:rFonts w:ascii="Titillium" w:hAnsi="Titillium"/>
          <w:sz w:val="20"/>
          <w:szCs w:val="20"/>
        </w:rPr>
      </w:pPr>
      <w:r w:rsidRPr="00F44709">
        <w:rPr>
          <w:rFonts w:ascii="Titillium" w:hAnsi="Titillium"/>
          <w:sz w:val="20"/>
          <w:szCs w:val="20"/>
        </w:rPr>
        <w:t>6.</w:t>
      </w:r>
      <w:r w:rsidRPr="00F44709">
        <w:rPr>
          <w:rFonts w:ascii="Titillium" w:hAnsi="Titillium"/>
          <w:sz w:val="20"/>
          <w:szCs w:val="20"/>
        </w:rPr>
        <w:tab/>
        <w:t>OPG – Davorka Franić, Nova cesta 1, 10000 Zagreb, OIB: 97049573800</w:t>
      </w:r>
    </w:p>
    <w:p w14:paraId="7C06524D" w14:textId="1990553A" w:rsidR="002841C8" w:rsidRDefault="00F44709" w:rsidP="00612BF5">
      <w:pPr>
        <w:pStyle w:val="NoSpacing"/>
        <w:jc w:val="both"/>
        <w:rPr>
          <w:rFonts w:ascii="Titillium" w:hAnsi="Titillium"/>
          <w:sz w:val="20"/>
          <w:szCs w:val="20"/>
        </w:rPr>
      </w:pPr>
      <w:r w:rsidRPr="00F44709">
        <w:rPr>
          <w:rFonts w:ascii="Titillium" w:hAnsi="Titillium"/>
          <w:sz w:val="20"/>
          <w:szCs w:val="20"/>
        </w:rPr>
        <w:t>7.</w:t>
      </w:r>
      <w:r w:rsidRPr="00F44709">
        <w:rPr>
          <w:rFonts w:ascii="Titillium" w:hAnsi="Titillium"/>
          <w:sz w:val="20"/>
          <w:szCs w:val="20"/>
        </w:rPr>
        <w:tab/>
        <w:t xml:space="preserve">OPG – Željko </w:t>
      </w:r>
      <w:proofErr w:type="spellStart"/>
      <w:r w:rsidRPr="00F44709">
        <w:rPr>
          <w:rFonts w:ascii="Titillium" w:hAnsi="Titillium"/>
          <w:sz w:val="20"/>
          <w:szCs w:val="20"/>
        </w:rPr>
        <w:t>Egredija</w:t>
      </w:r>
      <w:proofErr w:type="spellEnd"/>
      <w:r w:rsidRPr="00F44709">
        <w:rPr>
          <w:rFonts w:ascii="Titillium" w:hAnsi="Titillium"/>
          <w:sz w:val="20"/>
          <w:szCs w:val="20"/>
        </w:rPr>
        <w:t>, Remetinečki gaj 26 A, 10000 Zagreb, OIB: 47201232512</w:t>
      </w:r>
    </w:p>
    <w:p w14:paraId="186C1C0C" w14:textId="2CBB878C" w:rsidR="002841C8" w:rsidRPr="00F44709" w:rsidRDefault="002841C8" w:rsidP="00612BF5">
      <w:pPr>
        <w:pStyle w:val="NoSpacing"/>
        <w:jc w:val="both"/>
        <w:rPr>
          <w:rFonts w:ascii="Titillium" w:hAnsi="Titillium"/>
          <w:sz w:val="20"/>
          <w:szCs w:val="20"/>
        </w:rPr>
      </w:pPr>
      <w:r>
        <w:rPr>
          <w:rFonts w:ascii="Titillium" w:hAnsi="Titillium"/>
          <w:sz w:val="20"/>
          <w:szCs w:val="20"/>
        </w:rPr>
        <w:t xml:space="preserve">8. </w:t>
      </w:r>
      <w:r>
        <w:rPr>
          <w:rFonts w:ascii="Titillium" w:hAnsi="Titillium"/>
          <w:sz w:val="20"/>
          <w:szCs w:val="20"/>
        </w:rPr>
        <w:tab/>
        <w:t>BPEL d.o.o.; Makančeva 11, 10000 Zagreb, OIB: 27370788996</w:t>
      </w:r>
    </w:p>
    <w:p w14:paraId="49153EAC" w14:textId="77777777" w:rsidR="00F44709" w:rsidRPr="00F44709" w:rsidRDefault="00F44709" w:rsidP="00F44709">
      <w:pPr>
        <w:pStyle w:val="NoSpacing"/>
        <w:rPr>
          <w:rFonts w:ascii="Titillium" w:hAnsi="Titillium"/>
          <w:sz w:val="20"/>
          <w:szCs w:val="20"/>
        </w:rPr>
      </w:pPr>
    </w:p>
    <w:p w14:paraId="4F122D71" w14:textId="77777777" w:rsidR="00F44709" w:rsidRPr="00F44709" w:rsidRDefault="00F44709" w:rsidP="00F44709">
      <w:pPr>
        <w:pStyle w:val="NoSpacing"/>
        <w:rPr>
          <w:rFonts w:ascii="Titillium" w:hAnsi="Titillium"/>
          <w:b/>
          <w:sz w:val="20"/>
          <w:szCs w:val="20"/>
        </w:rPr>
      </w:pPr>
      <w:r w:rsidRPr="00F44709">
        <w:rPr>
          <w:rFonts w:ascii="Titillium" w:hAnsi="Titillium"/>
          <w:b/>
          <w:sz w:val="20"/>
          <w:szCs w:val="20"/>
        </w:rPr>
        <w:t>1.4.</w:t>
      </w:r>
      <w:r w:rsidRPr="00F44709">
        <w:rPr>
          <w:rFonts w:ascii="Titillium" w:hAnsi="Titillium"/>
          <w:b/>
          <w:sz w:val="20"/>
          <w:szCs w:val="20"/>
        </w:rPr>
        <w:tab/>
        <w:t>Vrsta postupka javne nabave ili posebnog režima nabave</w:t>
      </w:r>
    </w:p>
    <w:p w14:paraId="07662F02" w14:textId="42E7F42F" w:rsidR="00F44709" w:rsidRPr="00F44709" w:rsidRDefault="00F44709" w:rsidP="00612BF5">
      <w:pPr>
        <w:pStyle w:val="NoSpacing"/>
        <w:jc w:val="both"/>
        <w:rPr>
          <w:rFonts w:ascii="Titillium" w:hAnsi="Titillium"/>
          <w:sz w:val="20"/>
          <w:szCs w:val="20"/>
        </w:rPr>
      </w:pPr>
      <w:r w:rsidRPr="00F44709">
        <w:rPr>
          <w:rFonts w:ascii="Titillium" w:hAnsi="Titillium"/>
          <w:sz w:val="20"/>
          <w:szCs w:val="20"/>
        </w:rPr>
        <w:t>Naručitelj provodi otvo</w:t>
      </w:r>
      <w:r w:rsidR="00576598">
        <w:rPr>
          <w:rFonts w:ascii="Titillium" w:hAnsi="Titillium"/>
          <w:sz w:val="20"/>
          <w:szCs w:val="20"/>
        </w:rPr>
        <w:t xml:space="preserve">reni postupak javne nabave male vrijednosti po odredbama Zakona o javnoj nabavi kao postupak velike </w:t>
      </w:r>
      <w:r w:rsidRPr="00F44709">
        <w:rPr>
          <w:rFonts w:ascii="Titillium" w:hAnsi="Titillium"/>
          <w:sz w:val="20"/>
          <w:szCs w:val="20"/>
        </w:rPr>
        <w:t>vrijednosti.</w:t>
      </w:r>
    </w:p>
    <w:p w14:paraId="762602DD" w14:textId="77777777" w:rsidR="00F44709" w:rsidRPr="00F44709" w:rsidRDefault="00F44709" w:rsidP="00612BF5">
      <w:pPr>
        <w:pStyle w:val="NoSpacing"/>
        <w:jc w:val="both"/>
        <w:rPr>
          <w:rFonts w:ascii="Titillium" w:hAnsi="Titillium"/>
          <w:sz w:val="20"/>
          <w:szCs w:val="20"/>
        </w:rPr>
      </w:pPr>
      <w:r w:rsidRPr="00F44709">
        <w:rPr>
          <w:rFonts w:ascii="Titillium" w:hAnsi="Titillium"/>
          <w:sz w:val="20"/>
          <w:szCs w:val="20"/>
        </w:rPr>
        <w:t>U otvorenom postupku javne nabave svaki zainteresirani gospodarski subjekt može dostaviti ponudu u roku za dostavu ponuda.</w:t>
      </w:r>
    </w:p>
    <w:p w14:paraId="2B48DFC2" w14:textId="77777777" w:rsidR="00F44709" w:rsidRPr="00F44709" w:rsidRDefault="00F44709" w:rsidP="00612BF5">
      <w:pPr>
        <w:pStyle w:val="NoSpacing"/>
        <w:jc w:val="both"/>
        <w:rPr>
          <w:rFonts w:ascii="Titillium" w:hAnsi="Titillium"/>
          <w:sz w:val="20"/>
          <w:szCs w:val="20"/>
        </w:rPr>
      </w:pPr>
      <w:r w:rsidRPr="00F44709">
        <w:rPr>
          <w:rFonts w:ascii="Titillium" w:hAnsi="Titillium"/>
          <w:sz w:val="20"/>
          <w:szCs w:val="20"/>
        </w:rPr>
        <w:t>Otvoreni postupak započinje od dana slanja poziva na nadmetanje.</w:t>
      </w:r>
    </w:p>
    <w:p w14:paraId="25BCD88A" w14:textId="77777777" w:rsidR="00F44709" w:rsidRPr="00F44709" w:rsidRDefault="00F44709" w:rsidP="00F44709">
      <w:pPr>
        <w:pStyle w:val="NoSpacing"/>
        <w:rPr>
          <w:rFonts w:ascii="Titillium" w:hAnsi="Titillium"/>
          <w:sz w:val="20"/>
          <w:szCs w:val="20"/>
        </w:rPr>
      </w:pPr>
    </w:p>
    <w:p w14:paraId="58CBEF69" w14:textId="77777777" w:rsidR="00F44709" w:rsidRPr="007F0429" w:rsidRDefault="00F44709" w:rsidP="00F44709">
      <w:pPr>
        <w:pStyle w:val="NoSpacing"/>
        <w:rPr>
          <w:rFonts w:ascii="Titillium" w:hAnsi="Titillium"/>
          <w:b/>
          <w:sz w:val="20"/>
          <w:szCs w:val="20"/>
        </w:rPr>
      </w:pPr>
      <w:r w:rsidRPr="007F0429">
        <w:rPr>
          <w:rFonts w:ascii="Titillium" w:hAnsi="Titillium"/>
          <w:b/>
          <w:sz w:val="20"/>
          <w:szCs w:val="20"/>
        </w:rPr>
        <w:t>1.5.</w:t>
      </w:r>
      <w:r w:rsidRPr="007F0429">
        <w:rPr>
          <w:rFonts w:ascii="Titillium" w:hAnsi="Titillium"/>
          <w:b/>
          <w:sz w:val="20"/>
          <w:szCs w:val="20"/>
        </w:rPr>
        <w:tab/>
        <w:t>Procijenjena vrijednost nabave</w:t>
      </w:r>
    </w:p>
    <w:p w14:paraId="22AC81B6" w14:textId="294693EA" w:rsidR="00F44709" w:rsidRPr="00F44709" w:rsidRDefault="00F44709" w:rsidP="00F44709">
      <w:pPr>
        <w:pStyle w:val="NoSpacing"/>
        <w:rPr>
          <w:rFonts w:ascii="Titillium" w:hAnsi="Titillium"/>
          <w:sz w:val="20"/>
          <w:szCs w:val="20"/>
        </w:rPr>
      </w:pPr>
      <w:r w:rsidRPr="00F44709">
        <w:rPr>
          <w:rFonts w:ascii="Titillium" w:hAnsi="Titillium"/>
          <w:sz w:val="20"/>
          <w:szCs w:val="20"/>
        </w:rPr>
        <w:t>Procijenj</w:t>
      </w:r>
      <w:r w:rsidR="001F7F4B">
        <w:rPr>
          <w:rFonts w:ascii="Titillium" w:hAnsi="Titillium"/>
          <w:sz w:val="20"/>
          <w:szCs w:val="20"/>
        </w:rPr>
        <w:t>ena vrijednost nabave i</w:t>
      </w:r>
      <w:r w:rsidR="008B6CCF">
        <w:rPr>
          <w:rFonts w:ascii="Titillium" w:hAnsi="Titillium"/>
          <w:sz w:val="20"/>
          <w:szCs w:val="20"/>
        </w:rPr>
        <w:t>znosi 20</w:t>
      </w:r>
      <w:r w:rsidR="009255E1">
        <w:rPr>
          <w:rFonts w:ascii="Titillium" w:hAnsi="Titillium"/>
          <w:sz w:val="20"/>
          <w:szCs w:val="20"/>
        </w:rPr>
        <w:t>0</w:t>
      </w:r>
      <w:r w:rsidRPr="00F44709">
        <w:rPr>
          <w:rFonts w:ascii="Titillium" w:hAnsi="Titillium"/>
          <w:sz w:val="20"/>
          <w:szCs w:val="20"/>
        </w:rPr>
        <w:t>.000,00 HRK bez PDV-a.</w:t>
      </w:r>
    </w:p>
    <w:p w14:paraId="4EF8F28A" w14:textId="77777777" w:rsidR="00F44709" w:rsidRPr="00F44709" w:rsidRDefault="00F44709" w:rsidP="00F44709">
      <w:pPr>
        <w:pStyle w:val="NoSpacing"/>
        <w:rPr>
          <w:rFonts w:ascii="Titillium" w:hAnsi="Titillium"/>
          <w:sz w:val="20"/>
          <w:szCs w:val="20"/>
        </w:rPr>
      </w:pPr>
    </w:p>
    <w:p w14:paraId="3F7D86A7" w14:textId="77777777" w:rsidR="00F44709" w:rsidRPr="007F0429" w:rsidRDefault="00F44709" w:rsidP="00F44709">
      <w:pPr>
        <w:pStyle w:val="NoSpacing"/>
        <w:rPr>
          <w:rFonts w:ascii="Titillium" w:hAnsi="Titillium"/>
          <w:b/>
          <w:sz w:val="20"/>
          <w:szCs w:val="20"/>
        </w:rPr>
      </w:pPr>
      <w:r w:rsidRPr="007F0429">
        <w:rPr>
          <w:rFonts w:ascii="Titillium" w:hAnsi="Titillium"/>
          <w:b/>
          <w:sz w:val="20"/>
          <w:szCs w:val="20"/>
        </w:rPr>
        <w:t>1.6.</w:t>
      </w:r>
      <w:r w:rsidRPr="007F0429">
        <w:rPr>
          <w:rFonts w:ascii="Titillium" w:hAnsi="Titillium"/>
          <w:b/>
          <w:sz w:val="20"/>
          <w:szCs w:val="20"/>
        </w:rPr>
        <w:tab/>
        <w:t xml:space="preserve"> Vrsta ugovora o javnoj nabavi (roba, radovi ili usluge)</w:t>
      </w:r>
    </w:p>
    <w:p w14:paraId="4DA38B6F" w14:textId="497F74A1" w:rsidR="00F44709" w:rsidRPr="00F44709" w:rsidRDefault="00F44709" w:rsidP="00F44709">
      <w:pPr>
        <w:pStyle w:val="NoSpacing"/>
        <w:rPr>
          <w:rFonts w:ascii="Titillium" w:hAnsi="Titillium"/>
          <w:sz w:val="20"/>
          <w:szCs w:val="20"/>
        </w:rPr>
      </w:pPr>
      <w:r w:rsidRPr="00F44709">
        <w:rPr>
          <w:rFonts w:ascii="Titillium" w:hAnsi="Titillium"/>
          <w:sz w:val="20"/>
          <w:szCs w:val="20"/>
        </w:rPr>
        <w:t>Sklap</w:t>
      </w:r>
      <w:r w:rsidR="008B6CCF">
        <w:rPr>
          <w:rFonts w:ascii="Titillium" w:hAnsi="Titillium"/>
          <w:sz w:val="20"/>
          <w:szCs w:val="20"/>
        </w:rPr>
        <w:t>a se ugovor o javnoj nabavi usluge</w:t>
      </w:r>
      <w:r w:rsidRPr="00F44709">
        <w:rPr>
          <w:rFonts w:ascii="Titillium" w:hAnsi="Titillium"/>
          <w:sz w:val="20"/>
          <w:szCs w:val="20"/>
        </w:rPr>
        <w:t xml:space="preserve">; </w:t>
      </w:r>
    </w:p>
    <w:p w14:paraId="16290834" w14:textId="77777777" w:rsidR="00F44709" w:rsidRPr="00F44709" w:rsidRDefault="00F44709" w:rsidP="00F44709">
      <w:pPr>
        <w:pStyle w:val="NoSpacing"/>
        <w:rPr>
          <w:rFonts w:ascii="Titillium" w:hAnsi="Titillium"/>
          <w:sz w:val="20"/>
          <w:szCs w:val="20"/>
        </w:rPr>
      </w:pPr>
    </w:p>
    <w:p w14:paraId="3F2C756D" w14:textId="77777777" w:rsidR="00F44709" w:rsidRPr="007F0429" w:rsidRDefault="00F44709" w:rsidP="00F44709">
      <w:pPr>
        <w:pStyle w:val="NoSpacing"/>
        <w:rPr>
          <w:rFonts w:ascii="Titillium" w:hAnsi="Titillium"/>
          <w:b/>
          <w:sz w:val="20"/>
          <w:szCs w:val="20"/>
        </w:rPr>
      </w:pPr>
      <w:r w:rsidRPr="007F0429">
        <w:rPr>
          <w:rFonts w:ascii="Titillium" w:hAnsi="Titillium"/>
          <w:b/>
          <w:sz w:val="20"/>
          <w:szCs w:val="20"/>
        </w:rPr>
        <w:t>1.7.</w:t>
      </w:r>
      <w:r w:rsidRPr="007F0429">
        <w:rPr>
          <w:rFonts w:ascii="Titillium" w:hAnsi="Titillium"/>
          <w:b/>
          <w:sz w:val="20"/>
          <w:szCs w:val="20"/>
        </w:rPr>
        <w:tab/>
        <w:t>Navod sklapa li se ugovor o javnoj nabavi ili okvirni sporazum</w:t>
      </w:r>
    </w:p>
    <w:p w14:paraId="27A1BBD4" w14:textId="77777777" w:rsidR="00F44709" w:rsidRPr="00F44709" w:rsidRDefault="00F44709" w:rsidP="00F44709">
      <w:pPr>
        <w:pStyle w:val="NoSpacing"/>
        <w:rPr>
          <w:rFonts w:ascii="Titillium" w:hAnsi="Titillium"/>
          <w:sz w:val="20"/>
          <w:szCs w:val="20"/>
        </w:rPr>
      </w:pPr>
      <w:r w:rsidRPr="00F44709">
        <w:rPr>
          <w:rFonts w:ascii="Titillium" w:hAnsi="Titillium"/>
          <w:sz w:val="20"/>
          <w:szCs w:val="20"/>
        </w:rPr>
        <w:t>Sklapa se ugovor o javnoj nabavi.</w:t>
      </w:r>
    </w:p>
    <w:p w14:paraId="02AF76B5" w14:textId="77777777" w:rsidR="00F44709" w:rsidRPr="00F44709" w:rsidRDefault="00F44709" w:rsidP="00F44709">
      <w:pPr>
        <w:pStyle w:val="NoSpacing"/>
        <w:rPr>
          <w:rFonts w:ascii="Titillium" w:hAnsi="Titillium"/>
          <w:sz w:val="20"/>
          <w:szCs w:val="20"/>
        </w:rPr>
      </w:pPr>
    </w:p>
    <w:p w14:paraId="2069A432" w14:textId="77777777" w:rsidR="00F44709" w:rsidRPr="007F0429" w:rsidRDefault="00F44709" w:rsidP="00F44709">
      <w:pPr>
        <w:pStyle w:val="NoSpacing"/>
        <w:rPr>
          <w:rFonts w:ascii="Titillium" w:hAnsi="Titillium"/>
          <w:b/>
          <w:sz w:val="20"/>
          <w:szCs w:val="20"/>
        </w:rPr>
      </w:pPr>
      <w:r w:rsidRPr="007F0429">
        <w:rPr>
          <w:rFonts w:ascii="Titillium" w:hAnsi="Titillium"/>
          <w:b/>
          <w:sz w:val="20"/>
          <w:szCs w:val="20"/>
        </w:rPr>
        <w:t>1.8.</w:t>
      </w:r>
      <w:r w:rsidRPr="007F0429">
        <w:rPr>
          <w:rFonts w:ascii="Titillium" w:hAnsi="Titillium"/>
          <w:b/>
          <w:sz w:val="20"/>
          <w:szCs w:val="20"/>
        </w:rPr>
        <w:tab/>
        <w:t>Navod uspostavlja li se dinamički sustav nabave</w:t>
      </w:r>
    </w:p>
    <w:p w14:paraId="0FCCCC9D" w14:textId="77777777" w:rsidR="00F44709" w:rsidRPr="00F44709" w:rsidRDefault="00F44709" w:rsidP="00F44709">
      <w:pPr>
        <w:pStyle w:val="NoSpacing"/>
        <w:rPr>
          <w:rFonts w:ascii="Titillium" w:hAnsi="Titillium"/>
          <w:sz w:val="20"/>
          <w:szCs w:val="20"/>
        </w:rPr>
      </w:pPr>
      <w:r w:rsidRPr="00F44709">
        <w:rPr>
          <w:rFonts w:ascii="Titillium" w:hAnsi="Titillium"/>
          <w:sz w:val="20"/>
          <w:szCs w:val="20"/>
        </w:rPr>
        <w:t>Nije primjenjivo.</w:t>
      </w:r>
    </w:p>
    <w:p w14:paraId="3ED2613A" w14:textId="77777777" w:rsidR="00F44709" w:rsidRPr="00F44709" w:rsidRDefault="00F44709" w:rsidP="00F44709">
      <w:pPr>
        <w:pStyle w:val="NoSpacing"/>
        <w:rPr>
          <w:rFonts w:ascii="Titillium" w:hAnsi="Titillium"/>
          <w:sz w:val="20"/>
          <w:szCs w:val="20"/>
        </w:rPr>
      </w:pPr>
    </w:p>
    <w:p w14:paraId="2E470759" w14:textId="75F1B746" w:rsidR="000E3175" w:rsidRPr="007F0429" w:rsidRDefault="00F44709" w:rsidP="00F44709">
      <w:pPr>
        <w:pStyle w:val="NoSpacing"/>
        <w:rPr>
          <w:rFonts w:ascii="Titillium" w:hAnsi="Titillium"/>
          <w:b/>
          <w:sz w:val="20"/>
          <w:szCs w:val="20"/>
        </w:rPr>
      </w:pPr>
      <w:r w:rsidRPr="007F0429">
        <w:rPr>
          <w:rFonts w:ascii="Titillium" w:hAnsi="Titillium"/>
          <w:b/>
          <w:sz w:val="20"/>
          <w:szCs w:val="20"/>
        </w:rPr>
        <w:t>1.9.</w:t>
      </w:r>
      <w:r w:rsidRPr="007F0429">
        <w:rPr>
          <w:rFonts w:ascii="Titillium" w:hAnsi="Titillium"/>
          <w:b/>
          <w:sz w:val="20"/>
          <w:szCs w:val="20"/>
        </w:rPr>
        <w:tab/>
        <w:t>Navod provodi li se elektronička dražba</w:t>
      </w:r>
    </w:p>
    <w:p w14:paraId="26EB5719" w14:textId="77777777" w:rsidR="00F44709" w:rsidRDefault="00F44709" w:rsidP="00F44709">
      <w:pPr>
        <w:pStyle w:val="NoSpacing"/>
        <w:rPr>
          <w:rFonts w:ascii="Titillium" w:hAnsi="Titillium"/>
          <w:sz w:val="20"/>
          <w:szCs w:val="20"/>
        </w:rPr>
      </w:pPr>
      <w:r w:rsidRPr="00F44709">
        <w:rPr>
          <w:rFonts w:ascii="Titillium" w:hAnsi="Titillium"/>
          <w:sz w:val="20"/>
          <w:szCs w:val="20"/>
        </w:rPr>
        <w:t>Ne provodi se elektronička dražba.</w:t>
      </w:r>
    </w:p>
    <w:p w14:paraId="4C5DE636" w14:textId="77777777" w:rsidR="000E3175" w:rsidRDefault="000E3175" w:rsidP="000E3175">
      <w:pPr>
        <w:pStyle w:val="NoSpacing"/>
        <w:rPr>
          <w:rFonts w:ascii="Titillium" w:hAnsi="Titillium"/>
          <w:b/>
          <w:sz w:val="20"/>
          <w:szCs w:val="20"/>
        </w:rPr>
      </w:pPr>
    </w:p>
    <w:p w14:paraId="27E9B8A9" w14:textId="236CC5A8" w:rsidR="000E3175" w:rsidRPr="007F0429" w:rsidRDefault="000E3175" w:rsidP="000E3175">
      <w:pPr>
        <w:pStyle w:val="NoSpacing"/>
        <w:rPr>
          <w:rFonts w:ascii="Titillium" w:hAnsi="Titillium"/>
          <w:b/>
          <w:sz w:val="20"/>
          <w:szCs w:val="20"/>
        </w:rPr>
      </w:pPr>
      <w:r>
        <w:rPr>
          <w:rFonts w:ascii="Titillium" w:hAnsi="Titillium"/>
          <w:b/>
          <w:sz w:val="20"/>
          <w:szCs w:val="20"/>
        </w:rPr>
        <w:t>1.10.</w:t>
      </w:r>
      <w:r>
        <w:rPr>
          <w:rFonts w:ascii="Titillium" w:hAnsi="Titillium"/>
          <w:b/>
          <w:sz w:val="20"/>
          <w:szCs w:val="20"/>
        </w:rPr>
        <w:tab/>
        <w:t>Navod dijeli li se predmet nabave na grupe</w:t>
      </w:r>
    </w:p>
    <w:p w14:paraId="2D791128" w14:textId="7FE9122E" w:rsidR="004C364C" w:rsidRDefault="000E3175" w:rsidP="00F44709">
      <w:pPr>
        <w:pStyle w:val="NoSpacing"/>
        <w:rPr>
          <w:rFonts w:ascii="Titillium" w:hAnsi="Titillium"/>
          <w:sz w:val="20"/>
          <w:szCs w:val="20"/>
        </w:rPr>
      </w:pPr>
      <w:r>
        <w:rPr>
          <w:rFonts w:ascii="Titillium" w:hAnsi="Titillium"/>
          <w:sz w:val="20"/>
          <w:szCs w:val="20"/>
        </w:rPr>
        <w:t>Naručitelj nije podijelio predmet nabave na grupe  jer se radi o nabavi usluge savjetovanja pripreme i provedbe svih postupak javnih nabava</w:t>
      </w:r>
      <w:r>
        <w:rPr>
          <w:rFonts w:ascii="Titillium" w:hAnsi="Titillium"/>
          <w:color w:val="000000"/>
          <w:sz w:val="20"/>
          <w:szCs w:val="20"/>
          <w:lang w:eastAsia="hr-HR"/>
        </w:rPr>
        <w:t xml:space="preserve"> </w:t>
      </w:r>
      <w:r w:rsidR="00704F6D">
        <w:rPr>
          <w:rFonts w:ascii="Titillium" w:hAnsi="Titillium"/>
          <w:sz w:val="20"/>
          <w:szCs w:val="20"/>
        </w:rPr>
        <w:t xml:space="preserve"> na</w:t>
      </w:r>
      <w:r>
        <w:rPr>
          <w:rFonts w:ascii="Titillium" w:hAnsi="Titillium"/>
          <w:sz w:val="20"/>
          <w:szCs w:val="20"/>
        </w:rPr>
        <w:t xml:space="preserve"> </w:t>
      </w:r>
      <w:r w:rsidR="00704F6D">
        <w:rPr>
          <w:rFonts w:ascii="Titillium" w:hAnsi="Titillium"/>
          <w:sz w:val="20"/>
          <w:szCs w:val="20"/>
        </w:rPr>
        <w:t>projektu</w:t>
      </w:r>
      <w:r>
        <w:rPr>
          <w:rFonts w:ascii="Titillium" w:hAnsi="Titillium"/>
          <w:sz w:val="20"/>
          <w:szCs w:val="20"/>
        </w:rPr>
        <w:t xml:space="preserve"> </w:t>
      </w:r>
      <w:r w:rsidRPr="00D557DE">
        <w:rPr>
          <w:rFonts w:ascii="Titillium" w:hAnsi="Titillium" w:cs="Arial"/>
          <w:sz w:val="20"/>
          <w:szCs w:val="20"/>
        </w:rPr>
        <w:t>„Istraživačko-edukacijski centar za zdravstvenu i medicinsku ekologiju i zaštitu od zračenja – Rekonstrukcija i dogradnja Instituta za medicinska istraživanja i medicinu rada u Zagrebu“</w:t>
      </w:r>
      <w:r>
        <w:rPr>
          <w:rFonts w:ascii="Titillium" w:hAnsi="Titillium" w:cs="Arial"/>
          <w:sz w:val="20"/>
          <w:szCs w:val="20"/>
        </w:rPr>
        <w:t>, a što</w:t>
      </w:r>
      <w:r w:rsidR="00704F6D">
        <w:rPr>
          <w:rFonts w:ascii="Titillium" w:hAnsi="Titillium" w:cs="Arial"/>
          <w:sz w:val="20"/>
          <w:szCs w:val="20"/>
        </w:rPr>
        <w:t xml:space="preserve"> predstavlja cjelinu koju je iz razloga svrsishodnosti provedbe usluge nemoguće podijeliti na grupe jer bi u suprotnom otežalo provedbu ugovora.</w:t>
      </w:r>
      <w:r>
        <w:rPr>
          <w:rFonts w:ascii="Titillium" w:hAnsi="Titillium" w:cs="Arial"/>
          <w:sz w:val="20"/>
          <w:szCs w:val="20"/>
        </w:rPr>
        <w:t xml:space="preserve"> </w:t>
      </w:r>
    </w:p>
    <w:p w14:paraId="5510DF61" w14:textId="77777777" w:rsidR="000E3175" w:rsidRDefault="000E3175" w:rsidP="00F44709">
      <w:pPr>
        <w:pStyle w:val="NoSpacing"/>
        <w:rPr>
          <w:rFonts w:ascii="Titillium" w:hAnsi="Titillium"/>
          <w:sz w:val="20"/>
          <w:szCs w:val="20"/>
        </w:rPr>
      </w:pPr>
    </w:p>
    <w:p w14:paraId="567BE4BD" w14:textId="0A76E1FB" w:rsidR="000972CC" w:rsidRPr="000E3175" w:rsidRDefault="000E3175" w:rsidP="000E3175">
      <w:pPr>
        <w:ind w:left="142"/>
        <w:jc w:val="both"/>
        <w:rPr>
          <w:rFonts w:ascii="Titillium" w:hAnsi="Titillium" w:cs="Arial"/>
          <w:b/>
          <w:sz w:val="20"/>
          <w:szCs w:val="20"/>
        </w:rPr>
      </w:pPr>
      <w:bookmarkStart w:id="5" w:name="_Toc504410290"/>
      <w:r>
        <w:rPr>
          <w:rFonts w:ascii="Titillium" w:hAnsi="Titillium" w:cs="Arial"/>
          <w:b/>
          <w:sz w:val="20"/>
          <w:szCs w:val="20"/>
        </w:rPr>
        <w:t>1.11.</w:t>
      </w:r>
      <w:r w:rsidR="000972CC" w:rsidRPr="000E3175">
        <w:rPr>
          <w:rFonts w:ascii="Titillium" w:hAnsi="Titillium" w:cs="Arial"/>
          <w:b/>
          <w:sz w:val="20"/>
          <w:szCs w:val="20"/>
        </w:rPr>
        <w:t xml:space="preserve"> Internetska stranica na kojoj je objavljeno izvješće o provedenom savjetovanju sa zainteresiranim gospodarskim subjektima</w:t>
      </w:r>
      <w:bookmarkEnd w:id="5"/>
    </w:p>
    <w:p w14:paraId="6A030B83" w14:textId="47B94E2D" w:rsidR="000972CC" w:rsidRPr="000972CC" w:rsidRDefault="000972CC" w:rsidP="000972CC">
      <w:pPr>
        <w:spacing w:line="240" w:lineRule="auto"/>
        <w:jc w:val="both"/>
        <w:rPr>
          <w:rFonts w:ascii="Titillium" w:hAnsi="Titillium"/>
          <w:sz w:val="20"/>
          <w:szCs w:val="20"/>
        </w:rPr>
      </w:pPr>
      <w:r w:rsidRPr="000972CC">
        <w:rPr>
          <w:rFonts w:ascii="Titillium" w:hAnsi="Titillium"/>
          <w:sz w:val="20"/>
          <w:szCs w:val="20"/>
        </w:rPr>
        <w:t xml:space="preserve">Temeljem članka 198. stavka 3. ZJN 2016 Naručitelj je  opis predmeta nabave, </w:t>
      </w:r>
      <w:r>
        <w:rPr>
          <w:rFonts w:ascii="Titillium" w:hAnsi="Titillium"/>
          <w:sz w:val="20"/>
          <w:szCs w:val="20"/>
        </w:rPr>
        <w:t>opis posla</w:t>
      </w:r>
      <w:r w:rsidRPr="000972CC">
        <w:rPr>
          <w:rFonts w:ascii="Titillium" w:hAnsi="Titillium"/>
          <w:sz w:val="20"/>
          <w:szCs w:val="20"/>
        </w:rPr>
        <w:t xml:space="preserve">, kriterije za kvalitativni odabir gospodarskog subjekta, kriterije za odabir ponude i posebne uvjete ugovora, dana </w:t>
      </w:r>
      <w:r>
        <w:rPr>
          <w:rFonts w:ascii="Titillium" w:hAnsi="Titillium"/>
          <w:sz w:val="20"/>
          <w:szCs w:val="20"/>
        </w:rPr>
        <w:t>26. srpnja</w:t>
      </w:r>
      <w:r w:rsidRPr="000972CC">
        <w:rPr>
          <w:rFonts w:ascii="Titillium" w:hAnsi="Titillium"/>
          <w:sz w:val="20"/>
          <w:szCs w:val="20"/>
        </w:rPr>
        <w:t xml:space="preserve"> 2018. godine stavio na prethodno savjetovanje sa zainteresiranim gospodarskim subjektima u trajanju </w:t>
      </w:r>
      <w:r>
        <w:rPr>
          <w:rFonts w:ascii="Titillium" w:hAnsi="Titillium"/>
          <w:sz w:val="20"/>
          <w:szCs w:val="20"/>
        </w:rPr>
        <w:t>od 7</w:t>
      </w:r>
      <w:r w:rsidRPr="000972CC">
        <w:rPr>
          <w:rFonts w:ascii="Titillium" w:hAnsi="Titillium"/>
          <w:sz w:val="20"/>
          <w:szCs w:val="20"/>
        </w:rPr>
        <w:t xml:space="preserve"> radnih </w:t>
      </w:r>
      <w:r>
        <w:rPr>
          <w:rFonts w:ascii="Titillium" w:hAnsi="Titillium"/>
          <w:sz w:val="20"/>
          <w:szCs w:val="20"/>
        </w:rPr>
        <w:t>dana, i to do: 6. kolovoza</w:t>
      </w:r>
      <w:r w:rsidRPr="000972CC">
        <w:rPr>
          <w:rFonts w:ascii="Titillium" w:hAnsi="Titillium"/>
          <w:sz w:val="20"/>
          <w:szCs w:val="20"/>
        </w:rPr>
        <w:t xml:space="preserve"> 2018. godine, javnom objavom na internetskim stranicama EOJN RH</w:t>
      </w:r>
      <w:r>
        <w:rPr>
          <w:rFonts w:ascii="Titillium" w:hAnsi="Titillium"/>
          <w:sz w:val="20"/>
          <w:szCs w:val="20"/>
        </w:rPr>
        <w:t>.</w:t>
      </w:r>
    </w:p>
    <w:p w14:paraId="11DD8D2A" w14:textId="77777777" w:rsidR="000972CC" w:rsidRPr="000972CC" w:rsidRDefault="000972CC" w:rsidP="000972CC">
      <w:pPr>
        <w:spacing w:line="240" w:lineRule="auto"/>
        <w:jc w:val="both"/>
        <w:rPr>
          <w:rFonts w:ascii="Titillium" w:hAnsi="Titillium"/>
          <w:sz w:val="20"/>
          <w:szCs w:val="20"/>
        </w:rPr>
      </w:pPr>
      <w:r w:rsidRPr="000972CC">
        <w:rPr>
          <w:rFonts w:ascii="Titillium" w:hAnsi="Titillium"/>
          <w:sz w:val="20"/>
          <w:szCs w:val="20"/>
        </w:rPr>
        <w:t>Izvješće o provedenom prethodnom savjetovanju, odnosno o prihvaćenim i neprihvaćenim primjedbama i prijedlozima, objavljeno je na internetskim stranicama EOJN RH: ------.</w:t>
      </w:r>
    </w:p>
    <w:p w14:paraId="1893F26B" w14:textId="77777777" w:rsidR="002A6078" w:rsidRDefault="002A6078" w:rsidP="00F44709">
      <w:pPr>
        <w:pStyle w:val="NoSpacing"/>
        <w:rPr>
          <w:rFonts w:ascii="Titillium" w:hAnsi="Titillium"/>
          <w:sz w:val="20"/>
          <w:szCs w:val="20"/>
        </w:rPr>
      </w:pPr>
    </w:p>
    <w:p w14:paraId="7EC79FE6" w14:textId="51B23B28" w:rsidR="007F0429" w:rsidRDefault="004C364C" w:rsidP="00BB579A">
      <w:pPr>
        <w:pStyle w:val="NoSpacing"/>
        <w:numPr>
          <w:ilvl w:val="0"/>
          <w:numId w:val="3"/>
        </w:numPr>
        <w:rPr>
          <w:rFonts w:ascii="Titillium" w:hAnsi="Titillium"/>
          <w:b/>
          <w:u w:val="single"/>
        </w:rPr>
      </w:pPr>
      <w:r w:rsidRPr="00273C29">
        <w:rPr>
          <w:rFonts w:ascii="Titillium" w:hAnsi="Titillium"/>
          <w:b/>
          <w:u w:val="single"/>
        </w:rPr>
        <w:t>PODACI O PREDMETU NABAVE</w:t>
      </w:r>
    </w:p>
    <w:p w14:paraId="4B4E4120" w14:textId="77777777" w:rsidR="00072CC8" w:rsidRPr="00273C29" w:rsidRDefault="00072CC8" w:rsidP="00072CC8">
      <w:pPr>
        <w:pStyle w:val="NoSpacing"/>
        <w:rPr>
          <w:rFonts w:ascii="Titillium" w:hAnsi="Titillium"/>
          <w:b/>
          <w:u w:val="single"/>
        </w:rPr>
      </w:pPr>
    </w:p>
    <w:p w14:paraId="14254B29" w14:textId="77777777" w:rsidR="00273C29" w:rsidRPr="00072CC8" w:rsidRDefault="00072CC8" w:rsidP="00B942CA">
      <w:pPr>
        <w:pStyle w:val="Style1"/>
        <w:tabs>
          <w:tab w:val="left" w:pos="720"/>
        </w:tabs>
        <w:rPr>
          <w:rFonts w:ascii="Titillium" w:hAnsi="Titillium"/>
          <w:sz w:val="20"/>
          <w:szCs w:val="20"/>
        </w:rPr>
      </w:pPr>
      <w:r w:rsidRPr="00072CC8">
        <w:rPr>
          <w:rFonts w:ascii="Titillium" w:hAnsi="Titillium"/>
          <w:b/>
          <w:sz w:val="20"/>
          <w:szCs w:val="20"/>
          <w:lang w:val="hr-HR"/>
        </w:rPr>
        <w:t>2.</w:t>
      </w:r>
      <w:r>
        <w:rPr>
          <w:rFonts w:ascii="Titillium" w:hAnsi="Titillium"/>
          <w:b/>
          <w:sz w:val="20"/>
          <w:szCs w:val="20"/>
          <w:lang w:val="hr-HR"/>
        </w:rPr>
        <w:t xml:space="preserve">1. </w:t>
      </w:r>
      <w:r>
        <w:rPr>
          <w:rFonts w:ascii="Titillium" w:hAnsi="Titillium"/>
          <w:b/>
          <w:sz w:val="20"/>
          <w:szCs w:val="20"/>
          <w:lang w:val="hr-HR"/>
        </w:rPr>
        <w:tab/>
      </w:r>
      <w:r w:rsidR="00273C29" w:rsidRPr="00072CC8">
        <w:rPr>
          <w:rFonts w:ascii="Titillium" w:hAnsi="Titillium"/>
          <w:b/>
          <w:sz w:val="20"/>
          <w:szCs w:val="20"/>
          <w:lang w:val="hr-HR"/>
        </w:rPr>
        <w:t xml:space="preserve">Opis predmeta </w:t>
      </w:r>
      <w:r w:rsidR="00273C29" w:rsidRPr="001253CC">
        <w:rPr>
          <w:rFonts w:ascii="Titillium" w:hAnsi="Titillium"/>
          <w:b/>
          <w:sz w:val="20"/>
          <w:szCs w:val="20"/>
          <w:lang w:val="hr-HR"/>
        </w:rPr>
        <w:t>nabave</w:t>
      </w:r>
    </w:p>
    <w:p w14:paraId="3DE53B39" w14:textId="0D78015B" w:rsidR="004E2998" w:rsidRPr="00DE4E53" w:rsidRDefault="00C1564C" w:rsidP="00DE4E53">
      <w:pPr>
        <w:adjustRightInd w:val="0"/>
        <w:rPr>
          <w:rFonts w:ascii="Titillium" w:hAnsi="Titillium"/>
          <w:b/>
          <w:color w:val="000000"/>
          <w:sz w:val="24"/>
          <w:szCs w:val="24"/>
          <w:lang w:eastAsia="hr-HR"/>
        </w:rPr>
      </w:pPr>
      <w:r>
        <w:rPr>
          <w:rFonts w:ascii="Titillium" w:hAnsi="Titillium"/>
          <w:sz w:val="20"/>
          <w:szCs w:val="20"/>
        </w:rPr>
        <w:t>Predmet nabave</w:t>
      </w:r>
      <w:r w:rsidR="00DE4E53">
        <w:rPr>
          <w:rFonts w:ascii="Titillium" w:hAnsi="Titillium"/>
          <w:sz w:val="20"/>
          <w:szCs w:val="20"/>
        </w:rPr>
        <w:t xml:space="preserve"> je</w:t>
      </w:r>
      <w:r>
        <w:rPr>
          <w:rFonts w:ascii="Titillium" w:hAnsi="Titillium"/>
          <w:sz w:val="20"/>
          <w:szCs w:val="20"/>
        </w:rPr>
        <w:t xml:space="preserve"> </w:t>
      </w:r>
      <w:r w:rsidR="007501BC">
        <w:rPr>
          <w:rFonts w:ascii="Titillium" w:hAnsi="Titillium"/>
          <w:color w:val="000000"/>
          <w:sz w:val="20"/>
          <w:szCs w:val="20"/>
          <w:lang w:eastAsia="hr-HR"/>
        </w:rPr>
        <w:t>U</w:t>
      </w:r>
      <w:r w:rsidR="00DE4E53" w:rsidRPr="00DE4E53">
        <w:rPr>
          <w:rFonts w:ascii="Titillium" w:hAnsi="Titillium"/>
          <w:color w:val="000000"/>
          <w:sz w:val="20"/>
          <w:szCs w:val="20"/>
          <w:lang w:eastAsia="hr-HR"/>
        </w:rPr>
        <w:t>sluga savj</w:t>
      </w:r>
      <w:r w:rsidR="007501BC">
        <w:rPr>
          <w:rFonts w:ascii="Titillium" w:hAnsi="Titillium"/>
          <w:color w:val="000000"/>
          <w:sz w:val="20"/>
          <w:szCs w:val="20"/>
          <w:lang w:eastAsia="hr-HR"/>
        </w:rPr>
        <w:t>etovanja pri provođenju postupaka</w:t>
      </w:r>
      <w:r w:rsidR="00DE4E53">
        <w:rPr>
          <w:rFonts w:ascii="Titillium" w:hAnsi="Titillium"/>
          <w:color w:val="000000"/>
          <w:sz w:val="20"/>
          <w:szCs w:val="20"/>
          <w:lang w:eastAsia="hr-HR"/>
        </w:rPr>
        <w:t xml:space="preserve"> javne</w:t>
      </w:r>
      <w:r w:rsidR="007501BC">
        <w:rPr>
          <w:rFonts w:ascii="Titillium" w:hAnsi="Titillium"/>
          <w:color w:val="000000"/>
          <w:sz w:val="20"/>
          <w:szCs w:val="20"/>
          <w:lang w:eastAsia="hr-HR"/>
        </w:rPr>
        <w:t xml:space="preserve"> nabave</w:t>
      </w:r>
      <w:r w:rsidR="00DE4E53">
        <w:rPr>
          <w:rFonts w:ascii="Titillium" w:hAnsi="Titillium"/>
          <w:color w:val="000000"/>
          <w:sz w:val="20"/>
          <w:szCs w:val="20"/>
          <w:lang w:eastAsia="hr-HR"/>
        </w:rPr>
        <w:t xml:space="preserve"> </w:t>
      </w:r>
      <w:r w:rsidR="00DE4E53">
        <w:rPr>
          <w:rFonts w:ascii="Titillium" w:hAnsi="Titillium"/>
          <w:sz w:val="20"/>
          <w:szCs w:val="20"/>
        </w:rPr>
        <w:t xml:space="preserve"> u provedbi </w:t>
      </w:r>
      <w:r w:rsidR="00D557DE">
        <w:rPr>
          <w:rFonts w:ascii="Titillium" w:hAnsi="Titillium"/>
          <w:sz w:val="20"/>
          <w:szCs w:val="20"/>
        </w:rPr>
        <w:t xml:space="preserve">projekta </w:t>
      </w:r>
      <w:r w:rsidR="00D557DE" w:rsidRPr="00D557DE">
        <w:rPr>
          <w:rFonts w:ascii="Titillium" w:hAnsi="Titillium" w:cs="Arial"/>
          <w:sz w:val="20"/>
          <w:szCs w:val="20"/>
        </w:rPr>
        <w:t>„Istraživačko-edukacijski centar za zdravstvenu i medicinsku ekologiju i zaštitu od zračenja – Rekonstrukcija i dogradnja Instituta za medicinska istraživanja i medicinu rada u Zagrebu“</w:t>
      </w:r>
      <w:r w:rsidR="004E2998">
        <w:rPr>
          <w:rFonts w:ascii="Titillium" w:hAnsi="Titillium" w:cs="Arial"/>
          <w:sz w:val="20"/>
          <w:szCs w:val="20"/>
        </w:rPr>
        <w:t xml:space="preserve"> koje su detaljno opisane u Dodatku 1. opis poslova ove Dokumentacije o nabavi.</w:t>
      </w:r>
    </w:p>
    <w:p w14:paraId="75C111E6" w14:textId="1E1DC696" w:rsidR="00EE7D8D" w:rsidRPr="00EE7D8D" w:rsidRDefault="00D557DE" w:rsidP="00612BF5">
      <w:pPr>
        <w:pStyle w:val="NoSpacing"/>
        <w:jc w:val="both"/>
        <w:rPr>
          <w:rFonts w:ascii="Titillium" w:hAnsi="Titillium"/>
          <w:sz w:val="20"/>
          <w:szCs w:val="20"/>
        </w:rPr>
      </w:pPr>
      <w:r>
        <w:rPr>
          <w:rFonts w:ascii="Titillium" w:hAnsi="Titillium" w:cs="Arial"/>
          <w:sz w:val="20"/>
          <w:szCs w:val="20"/>
        </w:rPr>
        <w:t xml:space="preserve"> </w:t>
      </w:r>
    </w:p>
    <w:p w14:paraId="317DD785" w14:textId="67A0D1EF" w:rsidR="00EE7D8D" w:rsidRPr="00EE7D8D" w:rsidRDefault="002A6078" w:rsidP="00612BF5">
      <w:pPr>
        <w:pStyle w:val="NoSpacing"/>
        <w:jc w:val="both"/>
        <w:rPr>
          <w:rFonts w:ascii="Titillium" w:hAnsi="Titillium" w:cs="Tahoma"/>
          <w:b/>
          <w:sz w:val="20"/>
          <w:szCs w:val="20"/>
        </w:rPr>
      </w:pPr>
      <w:r w:rsidRPr="00EE7D8D">
        <w:rPr>
          <w:rFonts w:ascii="Titillium" w:hAnsi="Titillium" w:cs="Tahoma"/>
          <w:b/>
          <w:sz w:val="20"/>
          <w:szCs w:val="20"/>
        </w:rPr>
        <w:t xml:space="preserve">Oznaka i naziv iz jedinstvenog rječnika javne nabave: </w:t>
      </w:r>
      <w:r w:rsidR="00D557DE">
        <w:rPr>
          <w:rFonts w:ascii="Titillium" w:hAnsi="Titillium"/>
          <w:sz w:val="20"/>
          <w:szCs w:val="20"/>
        </w:rPr>
        <w:t>72224000 – usluge savjetovanja na području vođenja projekta.</w:t>
      </w:r>
    </w:p>
    <w:p w14:paraId="01289C37" w14:textId="77777777" w:rsidR="00D069E9" w:rsidRPr="00D069E9" w:rsidRDefault="00D069E9" w:rsidP="00612BF5">
      <w:pPr>
        <w:spacing w:after="0" w:line="240" w:lineRule="auto"/>
        <w:jc w:val="both"/>
        <w:rPr>
          <w:rFonts w:ascii="Titillium" w:eastAsia="Times New Roman" w:hAnsi="Titillium" w:cs="Calibri Light"/>
          <w:sz w:val="20"/>
          <w:szCs w:val="20"/>
          <w:lang w:eastAsia="hr-HR"/>
        </w:rPr>
      </w:pPr>
    </w:p>
    <w:p w14:paraId="0DFD97FD" w14:textId="77777777" w:rsidR="00072CC8" w:rsidRPr="00072CC8" w:rsidRDefault="00072CC8" w:rsidP="00612BF5">
      <w:pPr>
        <w:pStyle w:val="NoSpacing"/>
        <w:jc w:val="both"/>
        <w:rPr>
          <w:rFonts w:ascii="Titillium" w:hAnsi="Titillium"/>
          <w:b/>
          <w:sz w:val="20"/>
          <w:szCs w:val="20"/>
        </w:rPr>
      </w:pPr>
      <w:r w:rsidRPr="00072CC8">
        <w:rPr>
          <w:rFonts w:ascii="Titillium" w:hAnsi="Titillium"/>
          <w:b/>
          <w:sz w:val="20"/>
          <w:szCs w:val="20"/>
        </w:rPr>
        <w:t xml:space="preserve">2.2. </w:t>
      </w:r>
      <w:r w:rsidRPr="00072CC8">
        <w:rPr>
          <w:rFonts w:ascii="Titillium" w:hAnsi="Titillium"/>
          <w:b/>
          <w:sz w:val="20"/>
          <w:szCs w:val="20"/>
        </w:rPr>
        <w:tab/>
        <w:t>Tehničke specifikacije</w:t>
      </w:r>
    </w:p>
    <w:p w14:paraId="058BD0A5" w14:textId="2BC1A0FD" w:rsidR="009245D5" w:rsidRDefault="009245D5" w:rsidP="009245D5">
      <w:pPr>
        <w:spacing w:after="0" w:line="240" w:lineRule="auto"/>
        <w:jc w:val="both"/>
      </w:pPr>
      <w:r w:rsidRPr="00F730F5">
        <w:rPr>
          <w:rFonts w:ascii="Calibri Light" w:hAnsi="Calibri Light" w:cs="Tahoma"/>
          <w:bCs/>
          <w:iCs/>
        </w:rPr>
        <w:t xml:space="preserve">Zahtjevi tehničke specifikacije predmeta nabave, vrsta i kvaliteta u cijelosti je iskazana u </w:t>
      </w:r>
      <w:r w:rsidR="0010028D">
        <w:rPr>
          <w:rFonts w:ascii="Calibri Light" w:hAnsi="Calibri Light" w:cs="Tahoma"/>
        </w:rPr>
        <w:t>Dodatku</w:t>
      </w:r>
      <w:r w:rsidR="000972CC">
        <w:rPr>
          <w:rFonts w:ascii="Calibri Light" w:hAnsi="Calibri Light" w:cs="Tahoma"/>
        </w:rPr>
        <w:t xml:space="preserve"> 1 – Opis posla </w:t>
      </w:r>
      <w:r w:rsidR="0010028D">
        <w:rPr>
          <w:rFonts w:ascii="Calibri Light" w:hAnsi="Calibri Light" w:cs="Tahoma"/>
        </w:rPr>
        <w:t>ove Dokumentacije o nabavi</w:t>
      </w:r>
      <w:r w:rsidRPr="00F730F5">
        <w:rPr>
          <w:rFonts w:ascii="Calibri Light" w:hAnsi="Calibri Light" w:cs="Tahoma"/>
        </w:rPr>
        <w:t>.</w:t>
      </w:r>
      <w:r>
        <w:rPr>
          <w:rFonts w:ascii="Calibri Light" w:hAnsi="Calibri Light" w:cs="Tahoma"/>
        </w:rPr>
        <w:t xml:space="preserve"> </w:t>
      </w:r>
      <w:r w:rsidRPr="00D920CB">
        <w:rPr>
          <w:rFonts w:ascii="Calibri Light" w:hAnsi="Calibri Light"/>
        </w:rPr>
        <w:t>Ponuditelj mora po</w:t>
      </w:r>
      <w:r w:rsidR="000972CC">
        <w:rPr>
          <w:rFonts w:ascii="Calibri Light" w:hAnsi="Calibri Light"/>
        </w:rPr>
        <w:t>nuditi cjelokupan predmet prema O</w:t>
      </w:r>
      <w:r w:rsidRPr="00D920CB">
        <w:rPr>
          <w:rFonts w:ascii="Calibri Light" w:hAnsi="Calibri Light"/>
        </w:rPr>
        <w:t>pisu</w:t>
      </w:r>
      <w:r w:rsidR="000972CC">
        <w:rPr>
          <w:rFonts w:ascii="Calibri Light" w:hAnsi="Calibri Light"/>
        </w:rPr>
        <w:t xml:space="preserve"> posla</w:t>
      </w:r>
      <w:r w:rsidRPr="00D920CB">
        <w:rPr>
          <w:rFonts w:ascii="Calibri Light" w:hAnsi="Calibri Light"/>
        </w:rPr>
        <w:t xml:space="preserve"> i količini navedenim u troškovniku ove dokumentacije o nabavi. </w:t>
      </w:r>
    </w:p>
    <w:p w14:paraId="138A1433" w14:textId="77777777" w:rsidR="00D069E9" w:rsidRDefault="00D069E9" w:rsidP="00273C29">
      <w:pPr>
        <w:pStyle w:val="NoSpacing"/>
        <w:rPr>
          <w:rFonts w:ascii="Calibri Light" w:hAnsi="Calibri Light" w:cs="Arial Bold"/>
          <w:color w:val="000000"/>
        </w:rPr>
      </w:pPr>
    </w:p>
    <w:p w14:paraId="06E0BFB9" w14:textId="77777777" w:rsidR="00F165C4" w:rsidRDefault="00F165C4" w:rsidP="00273C29">
      <w:pPr>
        <w:pStyle w:val="NoSpacing"/>
      </w:pPr>
    </w:p>
    <w:p w14:paraId="6138E398" w14:textId="691525BE" w:rsidR="008D74CB" w:rsidRDefault="008D74CB" w:rsidP="00B33B87">
      <w:pPr>
        <w:pStyle w:val="NoSpacing"/>
        <w:jc w:val="both"/>
        <w:rPr>
          <w:rFonts w:ascii="Titillium" w:hAnsi="Titillium"/>
          <w:sz w:val="20"/>
          <w:szCs w:val="20"/>
        </w:rPr>
      </w:pPr>
    </w:p>
    <w:p w14:paraId="5E802265" w14:textId="719876D4" w:rsidR="008D74CB" w:rsidRPr="001253CC" w:rsidRDefault="006F7576" w:rsidP="00B33B87">
      <w:pPr>
        <w:pStyle w:val="NoSpacing"/>
        <w:jc w:val="both"/>
        <w:rPr>
          <w:rFonts w:ascii="Titillium" w:hAnsi="Titillium"/>
          <w:b/>
          <w:sz w:val="20"/>
          <w:szCs w:val="20"/>
        </w:rPr>
      </w:pPr>
      <w:r w:rsidRPr="001253CC">
        <w:rPr>
          <w:rFonts w:ascii="Titillium" w:hAnsi="Titillium"/>
          <w:b/>
          <w:sz w:val="20"/>
          <w:szCs w:val="20"/>
        </w:rPr>
        <w:t>2.3</w:t>
      </w:r>
      <w:r w:rsidR="008D74CB" w:rsidRPr="001253CC">
        <w:rPr>
          <w:rFonts w:ascii="Titillium" w:hAnsi="Titillium"/>
          <w:b/>
          <w:sz w:val="20"/>
          <w:szCs w:val="20"/>
        </w:rPr>
        <w:t>.</w:t>
      </w:r>
      <w:r w:rsidR="008D74CB" w:rsidRPr="001253CC">
        <w:rPr>
          <w:rFonts w:ascii="Titillium" w:hAnsi="Titillium"/>
          <w:b/>
          <w:sz w:val="20"/>
          <w:szCs w:val="20"/>
        </w:rPr>
        <w:tab/>
        <w:t>Količina predmeta nabave</w:t>
      </w:r>
    </w:p>
    <w:p w14:paraId="40C56DCA" w14:textId="12CA4FD9" w:rsidR="009245D5" w:rsidRPr="001253CC" w:rsidRDefault="009245D5" w:rsidP="009245D5">
      <w:pPr>
        <w:pStyle w:val="Heading1"/>
        <w:jc w:val="both"/>
        <w:rPr>
          <w:rFonts w:ascii="Titillium" w:hAnsi="Titillium"/>
          <w:b w:val="0"/>
          <w:lang w:val="hr-HR"/>
        </w:rPr>
      </w:pPr>
      <w:bookmarkStart w:id="6" w:name="_Toc504410293"/>
      <w:r w:rsidRPr="001253CC">
        <w:rPr>
          <w:rFonts w:ascii="Titillium" w:hAnsi="Titillium"/>
          <w:b w:val="0"/>
          <w:lang w:val="hr-HR"/>
        </w:rPr>
        <w:t>Vrsta i količina predmeta nabave u cijelosti je iskazana u troškovniku</w:t>
      </w:r>
      <w:r w:rsidR="00A23C44">
        <w:rPr>
          <w:rFonts w:ascii="Titillium" w:hAnsi="Titillium"/>
          <w:b w:val="0"/>
          <w:lang w:val="hr-HR"/>
        </w:rPr>
        <w:t xml:space="preserve"> i Dodatku 1, a koji se nalaze</w:t>
      </w:r>
      <w:r w:rsidRPr="001253CC">
        <w:rPr>
          <w:rFonts w:ascii="Titillium" w:hAnsi="Titillium"/>
          <w:b w:val="0"/>
          <w:lang w:val="hr-HR"/>
        </w:rPr>
        <w:t xml:space="preserve"> u privitku ove Dokumentacije o nabavi i njezin su sastavni dio.</w:t>
      </w:r>
      <w:bookmarkEnd w:id="6"/>
      <w:r w:rsidRPr="001253CC">
        <w:rPr>
          <w:rFonts w:ascii="Titillium" w:hAnsi="Titillium"/>
          <w:b w:val="0"/>
          <w:lang w:val="hr-HR"/>
        </w:rPr>
        <w:t xml:space="preserve"> </w:t>
      </w:r>
    </w:p>
    <w:p w14:paraId="7111AA0F" w14:textId="2CACEF5B" w:rsidR="009245D5" w:rsidRPr="001253CC" w:rsidRDefault="009245D5" w:rsidP="009245D5">
      <w:pPr>
        <w:pStyle w:val="Heading1"/>
        <w:jc w:val="both"/>
        <w:rPr>
          <w:rFonts w:ascii="Titillium" w:hAnsi="Titillium"/>
          <w:b w:val="0"/>
          <w:lang w:val="hr-HR"/>
        </w:rPr>
      </w:pPr>
      <w:bookmarkStart w:id="7" w:name="_Toc504410294"/>
      <w:r w:rsidRPr="001253CC">
        <w:rPr>
          <w:rFonts w:ascii="Titillium" w:hAnsi="Titillium"/>
          <w:b w:val="0"/>
          <w:lang w:val="hr-HR"/>
        </w:rPr>
        <w:t xml:space="preserve">Sukladno članku 4. stavku 1.a) Pravilnika </w:t>
      </w:r>
      <w:r w:rsidRPr="001253CC">
        <w:rPr>
          <w:rFonts w:ascii="Titillium" w:hAnsi="Titillium" w:cs="Tahoma"/>
          <w:b w:val="0"/>
          <w:lang w:val="hr-HR"/>
        </w:rPr>
        <w:t>o dokumentaciji o nabavi te ponudi u postupcima javne nabave (NN 65/17), k</w:t>
      </w:r>
      <w:r w:rsidRPr="001253CC">
        <w:rPr>
          <w:rFonts w:ascii="Titillium" w:hAnsi="Titillium"/>
          <w:b w:val="0"/>
          <w:lang w:val="hr-HR"/>
        </w:rPr>
        <w:t>oličina predmeta nabave je</w:t>
      </w:r>
      <w:r w:rsidRPr="001253CC">
        <w:rPr>
          <w:rFonts w:ascii="Titillium" w:hAnsi="Titillium"/>
          <w:lang w:val="hr-HR"/>
        </w:rPr>
        <w:t xml:space="preserve"> točna</w:t>
      </w:r>
      <w:r w:rsidRPr="001253CC">
        <w:rPr>
          <w:rFonts w:ascii="Titillium" w:hAnsi="Titillium"/>
          <w:b w:val="0"/>
          <w:lang w:val="hr-HR"/>
        </w:rPr>
        <w:t>.</w:t>
      </w:r>
      <w:bookmarkEnd w:id="7"/>
    </w:p>
    <w:p w14:paraId="4A509890" w14:textId="77777777" w:rsidR="00B942CA" w:rsidRPr="00B942CA" w:rsidRDefault="00B942CA" w:rsidP="00B942CA">
      <w:pPr>
        <w:pStyle w:val="NoSpacing"/>
        <w:rPr>
          <w:rFonts w:ascii="Titillium" w:hAnsi="Titillium"/>
          <w:sz w:val="20"/>
          <w:szCs w:val="20"/>
        </w:rPr>
      </w:pPr>
    </w:p>
    <w:p w14:paraId="10F9A7F4" w14:textId="567F6BCB" w:rsidR="00072CC8" w:rsidRPr="00B942CA" w:rsidRDefault="006F7576" w:rsidP="00B942CA">
      <w:pPr>
        <w:pStyle w:val="NoSpacing"/>
        <w:rPr>
          <w:rFonts w:ascii="Titillium" w:hAnsi="Titillium"/>
          <w:b/>
          <w:sz w:val="20"/>
          <w:szCs w:val="20"/>
        </w:rPr>
      </w:pPr>
      <w:r>
        <w:rPr>
          <w:rFonts w:ascii="Titillium" w:hAnsi="Titillium"/>
          <w:b/>
          <w:sz w:val="20"/>
          <w:szCs w:val="20"/>
        </w:rPr>
        <w:t>2.4</w:t>
      </w:r>
      <w:r w:rsidR="00072CC8" w:rsidRPr="00B942CA">
        <w:rPr>
          <w:rFonts w:ascii="Titillium" w:hAnsi="Titillium"/>
          <w:b/>
          <w:sz w:val="20"/>
          <w:szCs w:val="20"/>
        </w:rPr>
        <w:t xml:space="preserve">. </w:t>
      </w:r>
      <w:r w:rsidR="00072CC8" w:rsidRPr="00B942CA">
        <w:rPr>
          <w:rFonts w:ascii="Titillium" w:hAnsi="Titillium"/>
          <w:b/>
          <w:sz w:val="20"/>
          <w:szCs w:val="20"/>
        </w:rPr>
        <w:tab/>
        <w:t>Troškovnik</w:t>
      </w:r>
    </w:p>
    <w:p w14:paraId="54ACF4BC" w14:textId="450E3412" w:rsidR="00072CC8" w:rsidRPr="004763A5" w:rsidRDefault="00072CC8" w:rsidP="00B33B87">
      <w:pPr>
        <w:pStyle w:val="NoSpacing"/>
        <w:jc w:val="both"/>
        <w:rPr>
          <w:rFonts w:ascii="Titillium" w:hAnsi="Titillium"/>
          <w:sz w:val="20"/>
          <w:szCs w:val="20"/>
        </w:rPr>
      </w:pPr>
      <w:r w:rsidRPr="004763A5">
        <w:rPr>
          <w:rFonts w:ascii="Titillium" w:hAnsi="Titillium"/>
          <w:sz w:val="20"/>
          <w:szCs w:val="20"/>
        </w:rPr>
        <w:t xml:space="preserve">Naručitelj kao sastavni dio dokumentacije o nabavi prilaže Troškovnik </w:t>
      </w:r>
      <w:r w:rsidR="004763A5" w:rsidRPr="004763A5">
        <w:rPr>
          <w:rFonts w:ascii="Titillium" w:hAnsi="Titillium"/>
          <w:sz w:val="20"/>
          <w:szCs w:val="20"/>
        </w:rPr>
        <w:t>.</w:t>
      </w:r>
      <w:r w:rsidRPr="004763A5">
        <w:rPr>
          <w:rFonts w:ascii="Titillium" w:hAnsi="Titillium"/>
          <w:sz w:val="20"/>
          <w:szCs w:val="20"/>
        </w:rPr>
        <w:t xml:space="preserve">Troškovnik je potrebno ispuniti i tako ispunjen troškovnik potrebno je priložiti kao sastavni dio elektroničke ponude. </w:t>
      </w:r>
      <w:r w:rsidR="00A23C44">
        <w:rPr>
          <w:rFonts w:ascii="Titillium" w:hAnsi="Titillium"/>
          <w:sz w:val="20"/>
          <w:szCs w:val="20"/>
        </w:rPr>
        <w:t xml:space="preserve">Ponuditelj u Troškovniku upisuje jediničnu cijenu, ukupnu cijenu ponude bez poreza na dodanu vrijednost (PDV-a), iznos PDV-a te ukupnu cijenu ponude s PDV-om. </w:t>
      </w:r>
      <w:r w:rsidRPr="004763A5">
        <w:rPr>
          <w:rFonts w:ascii="Titillium" w:hAnsi="Titillium"/>
          <w:sz w:val="20"/>
          <w:szCs w:val="20"/>
        </w:rPr>
        <w:t xml:space="preserve">Troškovnik nije potrebno potpisati ni ovjeravati pečatom. </w:t>
      </w:r>
    </w:p>
    <w:p w14:paraId="136C30E1" w14:textId="77777777" w:rsidR="00FA05C0" w:rsidRDefault="00FA05C0" w:rsidP="00B942CA">
      <w:pPr>
        <w:pStyle w:val="NoSpacing"/>
        <w:jc w:val="both"/>
        <w:rPr>
          <w:rFonts w:ascii="Titillium" w:hAnsi="Titillium"/>
          <w:b/>
          <w:sz w:val="20"/>
          <w:szCs w:val="20"/>
        </w:rPr>
      </w:pPr>
    </w:p>
    <w:p w14:paraId="4012808E" w14:textId="648CC6BE" w:rsidR="00A23C44" w:rsidRDefault="00A23C44" w:rsidP="00B942CA">
      <w:pPr>
        <w:pStyle w:val="NoSpacing"/>
        <w:jc w:val="both"/>
        <w:rPr>
          <w:rFonts w:ascii="Titillium" w:hAnsi="Titillium"/>
          <w:b/>
          <w:sz w:val="20"/>
          <w:szCs w:val="20"/>
        </w:rPr>
      </w:pPr>
      <w:r>
        <w:rPr>
          <w:rFonts w:ascii="Titillium" w:hAnsi="Titillium"/>
          <w:b/>
          <w:sz w:val="20"/>
          <w:szCs w:val="20"/>
        </w:rPr>
        <w:t xml:space="preserve">2.5. </w:t>
      </w:r>
      <w:r>
        <w:rPr>
          <w:rFonts w:ascii="Titillium" w:hAnsi="Titillium"/>
          <w:b/>
          <w:sz w:val="20"/>
          <w:szCs w:val="20"/>
        </w:rPr>
        <w:tab/>
        <w:t xml:space="preserve">Početak i rok pružanja usluge </w:t>
      </w:r>
    </w:p>
    <w:p w14:paraId="07B14B95" w14:textId="51B594F6" w:rsidR="00A23C44" w:rsidRPr="00A23C44" w:rsidRDefault="00A23C44" w:rsidP="00B942CA">
      <w:pPr>
        <w:pStyle w:val="NoSpacing"/>
        <w:jc w:val="both"/>
        <w:rPr>
          <w:rFonts w:ascii="Titillium" w:hAnsi="Titillium"/>
          <w:sz w:val="20"/>
          <w:szCs w:val="20"/>
        </w:rPr>
      </w:pPr>
      <w:r w:rsidRPr="00A23C44">
        <w:rPr>
          <w:rFonts w:ascii="Titillium" w:hAnsi="Titillium"/>
          <w:sz w:val="20"/>
          <w:szCs w:val="20"/>
        </w:rPr>
        <w:t>Ugovor</w:t>
      </w:r>
      <w:r>
        <w:rPr>
          <w:rFonts w:ascii="Titillium" w:hAnsi="Titillium"/>
          <w:sz w:val="20"/>
          <w:szCs w:val="20"/>
        </w:rPr>
        <w:t xml:space="preserve"> o javnoj nabavi za usluge savjetovanja u provedbi projekta </w:t>
      </w:r>
      <w:r w:rsidRPr="00D557DE">
        <w:rPr>
          <w:rFonts w:ascii="Titillium" w:hAnsi="Titillium" w:cs="Arial"/>
          <w:sz w:val="20"/>
          <w:szCs w:val="20"/>
        </w:rPr>
        <w:t>„Istraživačko-edukacijski centar za zdravstvenu i medicinsku ekologiju i zaštitu od zračenja – Rekonstrukcija i dogradnja Instituta za medicinska istraživanja i medicinu rada u Zagrebu“</w:t>
      </w:r>
      <w:r>
        <w:rPr>
          <w:rFonts w:ascii="Titillium" w:hAnsi="Titillium" w:cs="Arial"/>
          <w:sz w:val="20"/>
          <w:szCs w:val="20"/>
        </w:rPr>
        <w:t xml:space="preserve"> stupa na snagu s danom potpisa obje ugovorne strane. Rok trajanja Ugovora je do planiranog završetka projekta,</w:t>
      </w:r>
      <w:r w:rsidRPr="000E4B09">
        <w:rPr>
          <w:rFonts w:ascii="Titillium" w:hAnsi="Titillium" w:cs="Arial"/>
          <w:color w:val="C45911" w:themeColor="accent2" w:themeShade="BF"/>
          <w:sz w:val="20"/>
          <w:szCs w:val="20"/>
        </w:rPr>
        <w:t xml:space="preserve"> </w:t>
      </w:r>
      <w:r w:rsidRPr="00DE4E53">
        <w:rPr>
          <w:rFonts w:ascii="Titillium" w:hAnsi="Titillium" w:cs="Arial"/>
          <w:color w:val="000000" w:themeColor="text1"/>
          <w:sz w:val="20"/>
          <w:szCs w:val="20"/>
        </w:rPr>
        <w:t>a što se očekuje u roku od 48 mjeseci od dana sklapanja ugovora.</w:t>
      </w:r>
    </w:p>
    <w:p w14:paraId="389BF25E" w14:textId="77777777" w:rsidR="00FA05C0" w:rsidRDefault="00FA05C0" w:rsidP="00B942CA">
      <w:pPr>
        <w:pStyle w:val="NoSpacing"/>
        <w:jc w:val="both"/>
        <w:rPr>
          <w:rFonts w:ascii="Titillium" w:hAnsi="Titillium"/>
          <w:b/>
          <w:sz w:val="20"/>
          <w:szCs w:val="20"/>
        </w:rPr>
      </w:pPr>
    </w:p>
    <w:p w14:paraId="0997B0DE" w14:textId="0504D9C5" w:rsidR="00B942CA" w:rsidRDefault="006F7576" w:rsidP="00B942CA">
      <w:pPr>
        <w:pStyle w:val="NoSpacing"/>
        <w:jc w:val="both"/>
        <w:rPr>
          <w:rFonts w:ascii="Titillium" w:hAnsi="Titillium"/>
          <w:b/>
          <w:sz w:val="20"/>
          <w:szCs w:val="20"/>
        </w:rPr>
      </w:pPr>
      <w:r>
        <w:rPr>
          <w:rFonts w:ascii="Titillium" w:hAnsi="Titillium"/>
          <w:b/>
          <w:sz w:val="20"/>
          <w:szCs w:val="20"/>
        </w:rPr>
        <w:t>2.5</w:t>
      </w:r>
      <w:r w:rsidR="00B942CA" w:rsidRPr="00B942CA">
        <w:rPr>
          <w:rFonts w:ascii="Titillium" w:hAnsi="Titillium"/>
          <w:b/>
          <w:sz w:val="20"/>
          <w:szCs w:val="20"/>
        </w:rPr>
        <w:t xml:space="preserve">. </w:t>
      </w:r>
      <w:r w:rsidR="00B942CA" w:rsidRPr="00B942CA">
        <w:rPr>
          <w:rFonts w:ascii="Titillium" w:hAnsi="Titillium"/>
          <w:b/>
          <w:sz w:val="20"/>
          <w:szCs w:val="20"/>
        </w:rPr>
        <w:tab/>
        <w:t>Mjesto izvršenja ugovora</w:t>
      </w:r>
      <w:r w:rsidR="00C80E35">
        <w:rPr>
          <w:rFonts w:ascii="Titillium" w:hAnsi="Titillium"/>
          <w:b/>
          <w:sz w:val="20"/>
          <w:szCs w:val="20"/>
        </w:rPr>
        <w:t xml:space="preserve"> i rok isporuke</w:t>
      </w:r>
    </w:p>
    <w:p w14:paraId="1B68F5C4" w14:textId="26452946" w:rsidR="00B942CA" w:rsidRDefault="00C54B9B" w:rsidP="006F7576">
      <w:pPr>
        <w:pStyle w:val="NoSpacing"/>
        <w:jc w:val="both"/>
        <w:rPr>
          <w:rFonts w:ascii="Titillium" w:hAnsi="Titillium"/>
          <w:sz w:val="20"/>
          <w:szCs w:val="20"/>
        </w:rPr>
      </w:pPr>
      <w:r>
        <w:rPr>
          <w:rFonts w:ascii="Titillium" w:hAnsi="Titillium"/>
          <w:sz w:val="20"/>
          <w:szCs w:val="20"/>
        </w:rPr>
        <w:t>Izvršenje usluge koja je predmet</w:t>
      </w:r>
      <w:r w:rsidR="00B942CA" w:rsidRPr="00B942CA">
        <w:rPr>
          <w:rFonts w:ascii="Titillium" w:hAnsi="Titillium"/>
          <w:sz w:val="20"/>
          <w:szCs w:val="20"/>
        </w:rPr>
        <w:t xml:space="preserve"> nabave </w:t>
      </w:r>
      <w:r w:rsidR="00E845CB">
        <w:rPr>
          <w:rFonts w:ascii="Titillium" w:hAnsi="Titillium"/>
          <w:sz w:val="20"/>
          <w:szCs w:val="20"/>
        </w:rPr>
        <w:t>izvršit</w:t>
      </w:r>
      <w:r w:rsidR="00B942CA" w:rsidRPr="00B942CA">
        <w:rPr>
          <w:rFonts w:ascii="Titillium" w:hAnsi="Titillium"/>
          <w:sz w:val="20"/>
          <w:szCs w:val="20"/>
        </w:rPr>
        <w:t xml:space="preserve"> će se na adresi Naručitelja: Institut za medicinska istraživanja i medicin</w:t>
      </w:r>
      <w:r w:rsidR="00E360A0">
        <w:rPr>
          <w:rFonts w:ascii="Titillium" w:hAnsi="Titillium"/>
          <w:sz w:val="20"/>
          <w:szCs w:val="20"/>
        </w:rPr>
        <w:t>u rada, Ksaverska cesta 2, 10001</w:t>
      </w:r>
      <w:r w:rsidR="00985309">
        <w:rPr>
          <w:rFonts w:ascii="Titillium" w:hAnsi="Titillium"/>
          <w:sz w:val="20"/>
          <w:szCs w:val="20"/>
        </w:rPr>
        <w:t xml:space="preserve"> </w:t>
      </w:r>
      <w:r w:rsidR="00B942CA" w:rsidRPr="00B942CA">
        <w:rPr>
          <w:rFonts w:ascii="Titillium" w:hAnsi="Titillium"/>
          <w:sz w:val="20"/>
          <w:szCs w:val="20"/>
        </w:rPr>
        <w:t>Zagreb</w:t>
      </w:r>
      <w:r>
        <w:rPr>
          <w:rFonts w:ascii="Titillium" w:hAnsi="Titillium"/>
          <w:sz w:val="20"/>
          <w:szCs w:val="20"/>
        </w:rPr>
        <w:t xml:space="preserve"> i u sjedištu odabranog Ponuditelja</w:t>
      </w:r>
      <w:r w:rsidR="00B942CA" w:rsidRPr="00B942CA">
        <w:rPr>
          <w:rFonts w:ascii="Titillium" w:hAnsi="Titillium"/>
          <w:sz w:val="20"/>
          <w:szCs w:val="20"/>
        </w:rPr>
        <w:t>.</w:t>
      </w:r>
    </w:p>
    <w:p w14:paraId="0A098C6A" w14:textId="77777777" w:rsidR="004763A5" w:rsidRDefault="004763A5" w:rsidP="006F7576">
      <w:pPr>
        <w:pStyle w:val="NoSpacing"/>
        <w:jc w:val="both"/>
        <w:rPr>
          <w:rFonts w:ascii="Titillium" w:hAnsi="Titillium"/>
          <w:sz w:val="20"/>
          <w:szCs w:val="20"/>
        </w:rPr>
      </w:pPr>
    </w:p>
    <w:p w14:paraId="7F33C920" w14:textId="77777777" w:rsidR="00B942CA" w:rsidRDefault="00B942CA" w:rsidP="006F7576">
      <w:pPr>
        <w:pStyle w:val="NoSpacing"/>
        <w:jc w:val="both"/>
        <w:rPr>
          <w:rFonts w:ascii="Titillium" w:hAnsi="Titillium"/>
          <w:sz w:val="20"/>
          <w:szCs w:val="20"/>
        </w:rPr>
      </w:pPr>
    </w:p>
    <w:p w14:paraId="00B7CDFC" w14:textId="47C3AA1C" w:rsidR="00B942CA" w:rsidRPr="00B942CA" w:rsidRDefault="006F7576" w:rsidP="006F7576">
      <w:pPr>
        <w:pStyle w:val="NoSpacing"/>
        <w:jc w:val="both"/>
        <w:rPr>
          <w:rFonts w:ascii="Titillium" w:hAnsi="Titillium"/>
          <w:b/>
          <w:sz w:val="20"/>
          <w:szCs w:val="20"/>
        </w:rPr>
      </w:pPr>
      <w:r>
        <w:rPr>
          <w:rFonts w:ascii="Titillium" w:hAnsi="Titillium"/>
          <w:b/>
          <w:sz w:val="20"/>
          <w:szCs w:val="20"/>
        </w:rPr>
        <w:t>2.6</w:t>
      </w:r>
      <w:r w:rsidR="00B942CA" w:rsidRPr="00B942CA">
        <w:rPr>
          <w:rFonts w:ascii="Titillium" w:hAnsi="Titillium"/>
          <w:b/>
          <w:sz w:val="20"/>
          <w:szCs w:val="20"/>
        </w:rPr>
        <w:t xml:space="preserve">. </w:t>
      </w:r>
      <w:r w:rsidR="00B942CA" w:rsidRPr="00B942CA">
        <w:rPr>
          <w:rFonts w:ascii="Titillium" w:hAnsi="Titillium"/>
          <w:b/>
          <w:sz w:val="20"/>
          <w:szCs w:val="20"/>
        </w:rPr>
        <w:tab/>
        <w:t>Rok, način i uvjeti plaćanja</w:t>
      </w:r>
    </w:p>
    <w:p w14:paraId="7BC2002D" w14:textId="2D45B014" w:rsidR="00E845CB" w:rsidRDefault="00E845CB" w:rsidP="00D511DD">
      <w:pPr>
        <w:pStyle w:val="NoSpacing"/>
        <w:jc w:val="both"/>
        <w:rPr>
          <w:rFonts w:ascii="Titillium" w:hAnsi="Titillium"/>
          <w:sz w:val="20"/>
          <w:szCs w:val="20"/>
        </w:rPr>
      </w:pPr>
      <w:r w:rsidRPr="007F1A57">
        <w:rPr>
          <w:rFonts w:ascii="Titillium" w:hAnsi="Titillium"/>
          <w:sz w:val="20"/>
          <w:szCs w:val="20"/>
        </w:rPr>
        <w:t xml:space="preserve">Plaćanje će se izvršiti na žiro račun Ponuditelja ili članova zajednice </w:t>
      </w:r>
      <w:r w:rsidRPr="007F1A57">
        <w:rPr>
          <w:rFonts w:ascii="Titillium" w:hAnsi="Titillium" w:cs="Tahoma"/>
          <w:sz w:val="20"/>
          <w:szCs w:val="20"/>
        </w:rPr>
        <w:t>gospodarskih subjekata</w:t>
      </w:r>
      <w:r w:rsidRPr="007F1A57">
        <w:rPr>
          <w:rFonts w:ascii="Titillium" w:hAnsi="Titillium"/>
          <w:sz w:val="20"/>
          <w:szCs w:val="20"/>
        </w:rPr>
        <w:t xml:space="preserve"> (ako je primjenjivo) u roku od </w:t>
      </w:r>
      <w:r w:rsidR="00C93E48">
        <w:rPr>
          <w:rFonts w:ascii="Titillium" w:hAnsi="Titillium"/>
          <w:sz w:val="20"/>
          <w:szCs w:val="20"/>
        </w:rPr>
        <w:t>3</w:t>
      </w:r>
      <w:r w:rsidRPr="007F1A57">
        <w:rPr>
          <w:rFonts w:ascii="Titillium" w:hAnsi="Titillium"/>
          <w:sz w:val="20"/>
          <w:szCs w:val="20"/>
        </w:rPr>
        <w:t xml:space="preserve">0 dana od dana zaprimanja računa. </w:t>
      </w:r>
    </w:p>
    <w:p w14:paraId="09AEE0D4" w14:textId="395559C3" w:rsidR="00DE723E" w:rsidRPr="00DE723E" w:rsidRDefault="00DE723E" w:rsidP="00DE723E">
      <w:pPr>
        <w:spacing w:after="160" w:line="259" w:lineRule="auto"/>
        <w:contextualSpacing/>
        <w:jc w:val="both"/>
        <w:rPr>
          <w:rFonts w:ascii="Titillium" w:hAnsi="Titillium" w:cs="Arial"/>
          <w:sz w:val="20"/>
          <w:szCs w:val="20"/>
        </w:rPr>
      </w:pPr>
      <w:r w:rsidRPr="00DE723E">
        <w:rPr>
          <w:rFonts w:ascii="Titillium" w:hAnsi="Titillium" w:cs="Arial"/>
          <w:sz w:val="20"/>
          <w:szCs w:val="20"/>
        </w:rPr>
        <w:t xml:space="preserve">Plaćanje Pružatelju usluge vršit će se po završetku svakog pojedinačnog postupka javne nabave koje je rezultiralo izvršnošću odluke o odabiru u </w:t>
      </w:r>
      <w:r>
        <w:rPr>
          <w:rFonts w:ascii="Titillium" w:hAnsi="Titillium" w:cs="Arial"/>
          <w:sz w:val="20"/>
          <w:szCs w:val="20"/>
        </w:rPr>
        <w:t xml:space="preserve">predviđenih </w:t>
      </w:r>
      <w:r w:rsidRPr="00DE723E">
        <w:rPr>
          <w:rFonts w:ascii="Titillium" w:hAnsi="Titillium" w:cs="Arial"/>
          <w:sz w:val="20"/>
          <w:szCs w:val="20"/>
        </w:rPr>
        <w:t xml:space="preserve">osam rata. </w:t>
      </w:r>
    </w:p>
    <w:p w14:paraId="14F3EAC7" w14:textId="77777777" w:rsidR="00DE723E" w:rsidRPr="00DE723E" w:rsidRDefault="00DE723E" w:rsidP="00DE723E">
      <w:pPr>
        <w:spacing w:after="160" w:line="259" w:lineRule="auto"/>
        <w:contextualSpacing/>
        <w:rPr>
          <w:rFonts w:ascii="Titillium" w:hAnsi="Titillium" w:cs="Arial"/>
          <w:sz w:val="20"/>
          <w:szCs w:val="20"/>
        </w:rPr>
      </w:pPr>
    </w:p>
    <w:p w14:paraId="6580A85C" w14:textId="23084E72" w:rsidR="005D6F19" w:rsidRPr="00DE723E" w:rsidRDefault="00DE723E" w:rsidP="00DE723E">
      <w:pPr>
        <w:spacing w:after="160" w:line="259" w:lineRule="auto"/>
        <w:contextualSpacing/>
        <w:jc w:val="both"/>
        <w:rPr>
          <w:rFonts w:ascii="Titillium" w:hAnsi="Titillium" w:cs="Arial"/>
          <w:sz w:val="20"/>
          <w:szCs w:val="20"/>
        </w:rPr>
      </w:pPr>
      <w:r w:rsidRPr="00DE723E">
        <w:rPr>
          <w:rFonts w:ascii="Titillium" w:hAnsi="Titillium" w:cs="Arial"/>
          <w:sz w:val="20"/>
          <w:szCs w:val="20"/>
        </w:rPr>
        <w:t>Pružatelj usluge dužan je uz račun priložiti izvješće o radu – o pripremi i provedb</w:t>
      </w:r>
      <w:r>
        <w:rPr>
          <w:rFonts w:ascii="Titillium" w:hAnsi="Titillium" w:cs="Arial"/>
          <w:sz w:val="20"/>
          <w:szCs w:val="20"/>
        </w:rPr>
        <w:t>i pruženih usluga savjetovanja za svaki pojedinačni postupak</w:t>
      </w:r>
      <w:r w:rsidRPr="00DE723E">
        <w:rPr>
          <w:rFonts w:ascii="Titillium" w:hAnsi="Titillium" w:cs="Arial"/>
          <w:sz w:val="20"/>
          <w:szCs w:val="20"/>
        </w:rPr>
        <w:t xml:space="preserve"> javne nabave, </w:t>
      </w:r>
      <w:r>
        <w:rPr>
          <w:rFonts w:ascii="Titillium" w:hAnsi="Titillium" w:cs="Arial"/>
          <w:sz w:val="20"/>
          <w:szCs w:val="20"/>
        </w:rPr>
        <w:t>a koji</w:t>
      </w:r>
      <w:r w:rsidRPr="00DE723E">
        <w:rPr>
          <w:rFonts w:ascii="Titillium" w:hAnsi="Titillium" w:cs="Arial"/>
          <w:sz w:val="20"/>
          <w:szCs w:val="20"/>
        </w:rPr>
        <w:t xml:space="preserve"> </w:t>
      </w:r>
      <w:r>
        <w:rPr>
          <w:rFonts w:ascii="Titillium" w:hAnsi="Titillium" w:cs="Arial"/>
          <w:sz w:val="20"/>
          <w:szCs w:val="20"/>
        </w:rPr>
        <w:t>predstavlja osnovu za plaćanje i</w:t>
      </w:r>
      <w:r w:rsidRPr="00DE723E">
        <w:rPr>
          <w:rFonts w:ascii="Titillium" w:hAnsi="Titillium" w:cs="Arial"/>
          <w:sz w:val="20"/>
          <w:szCs w:val="20"/>
        </w:rPr>
        <w:t xml:space="preserve"> mora biti </w:t>
      </w:r>
      <w:r>
        <w:rPr>
          <w:rFonts w:ascii="Titillium" w:hAnsi="Titillium" w:cs="Arial"/>
          <w:sz w:val="20"/>
          <w:szCs w:val="20"/>
        </w:rPr>
        <w:t>odobren</w:t>
      </w:r>
      <w:r w:rsidRPr="00DE723E">
        <w:rPr>
          <w:rFonts w:ascii="Titillium" w:hAnsi="Titillium" w:cs="Arial"/>
          <w:sz w:val="20"/>
          <w:szCs w:val="20"/>
        </w:rPr>
        <w:t xml:space="preserve"> od strane ovlaštene osobe Naručitelja za praćenje realizacije ugovora i na zahtjev Naručitelja priložiti dodatne dokaze o pruženim uslugama. </w:t>
      </w:r>
    </w:p>
    <w:p w14:paraId="4BA3CA00" w14:textId="658939BD" w:rsidR="005D6F19" w:rsidRDefault="005D6F19" w:rsidP="00D511DD">
      <w:pPr>
        <w:pStyle w:val="NoSpacing"/>
        <w:jc w:val="both"/>
        <w:rPr>
          <w:rFonts w:ascii="Titillium" w:hAnsi="Titillium"/>
          <w:sz w:val="20"/>
          <w:szCs w:val="20"/>
        </w:rPr>
      </w:pPr>
      <w:r>
        <w:rPr>
          <w:rFonts w:ascii="Titillium" w:hAnsi="Titillium"/>
          <w:sz w:val="20"/>
          <w:szCs w:val="20"/>
        </w:rPr>
        <w:t>Ukupna plaćanja bez poreza na dodanu vrijednost ne temelju sklopljenog ugovora ne smiju prelaziti procijenjenu vrijednost nabave.</w:t>
      </w:r>
    </w:p>
    <w:p w14:paraId="0B1F0D8B" w14:textId="77777777" w:rsidR="006F7576" w:rsidRPr="006F7576" w:rsidRDefault="006F7576" w:rsidP="006F7576">
      <w:pPr>
        <w:pStyle w:val="NoSpacing"/>
        <w:jc w:val="both"/>
        <w:rPr>
          <w:rFonts w:ascii="Titillium" w:hAnsi="Titillium"/>
          <w:sz w:val="20"/>
          <w:szCs w:val="20"/>
        </w:rPr>
      </w:pPr>
      <w:r w:rsidRPr="006F7576">
        <w:rPr>
          <w:rFonts w:ascii="Titillium" w:hAnsi="Titillium"/>
          <w:sz w:val="20"/>
          <w:szCs w:val="20"/>
        </w:rPr>
        <w:t>Naručitelj ne odobrava predujam te ne daje nikakva osiguranja plaćanja.</w:t>
      </w:r>
    </w:p>
    <w:p w14:paraId="2F0F2F5B" w14:textId="77777777" w:rsidR="00B942CA" w:rsidRDefault="00B942CA" w:rsidP="00B942CA">
      <w:pPr>
        <w:pStyle w:val="NoSpacing"/>
        <w:jc w:val="both"/>
        <w:rPr>
          <w:rFonts w:ascii="Titillium" w:hAnsi="Titillium"/>
          <w:sz w:val="20"/>
          <w:szCs w:val="20"/>
        </w:rPr>
      </w:pPr>
    </w:p>
    <w:p w14:paraId="74987D6D" w14:textId="65C63702" w:rsidR="00B942CA" w:rsidRPr="00B942CA" w:rsidRDefault="006F7576" w:rsidP="00B942CA">
      <w:pPr>
        <w:pStyle w:val="NoSpacing"/>
        <w:jc w:val="both"/>
        <w:rPr>
          <w:rFonts w:ascii="Titillium" w:hAnsi="Titillium"/>
          <w:b/>
          <w:sz w:val="20"/>
          <w:szCs w:val="20"/>
        </w:rPr>
      </w:pPr>
      <w:r>
        <w:rPr>
          <w:rFonts w:ascii="Titillium" w:hAnsi="Titillium"/>
          <w:b/>
          <w:sz w:val="20"/>
          <w:szCs w:val="20"/>
        </w:rPr>
        <w:t>2.7</w:t>
      </w:r>
      <w:r w:rsidR="00B942CA">
        <w:rPr>
          <w:rFonts w:ascii="Titillium" w:hAnsi="Titillium"/>
          <w:b/>
          <w:sz w:val="20"/>
          <w:szCs w:val="20"/>
        </w:rPr>
        <w:t xml:space="preserve">.  </w:t>
      </w:r>
      <w:r w:rsidR="00B942CA">
        <w:rPr>
          <w:rFonts w:ascii="Titillium" w:hAnsi="Titillium"/>
          <w:b/>
          <w:sz w:val="20"/>
          <w:szCs w:val="20"/>
        </w:rPr>
        <w:tab/>
      </w:r>
      <w:r w:rsidR="00B942CA" w:rsidRPr="00B942CA">
        <w:rPr>
          <w:rFonts w:ascii="Titillium" w:hAnsi="Titillium"/>
          <w:b/>
          <w:sz w:val="20"/>
          <w:szCs w:val="20"/>
        </w:rPr>
        <w:t>Rok donošenja odluke o odabiru ili poništenju</w:t>
      </w:r>
    </w:p>
    <w:p w14:paraId="1910AC1C" w14:textId="4D4E98C6" w:rsidR="00B942CA" w:rsidRPr="00B942CA" w:rsidRDefault="001360C8" w:rsidP="00B942CA">
      <w:pPr>
        <w:pStyle w:val="NoSpacing"/>
        <w:jc w:val="both"/>
        <w:rPr>
          <w:rFonts w:ascii="Titillium" w:hAnsi="Titillium"/>
          <w:b/>
          <w:sz w:val="20"/>
          <w:szCs w:val="20"/>
        </w:rPr>
      </w:pPr>
      <w:r>
        <w:rPr>
          <w:rFonts w:ascii="Titillium" w:hAnsi="Titillium"/>
          <w:sz w:val="20"/>
          <w:szCs w:val="20"/>
        </w:rPr>
        <w:t>6</w:t>
      </w:r>
      <w:r w:rsidR="00B942CA" w:rsidRPr="00B942CA">
        <w:rPr>
          <w:rFonts w:ascii="Titillium" w:hAnsi="Titillium"/>
          <w:sz w:val="20"/>
          <w:szCs w:val="20"/>
        </w:rPr>
        <w:t>0 dana od dana isteka roka za dostavu ponuda.</w:t>
      </w:r>
    </w:p>
    <w:p w14:paraId="2FA76073" w14:textId="77777777" w:rsidR="00B942CA" w:rsidRDefault="00B942CA" w:rsidP="00B942CA">
      <w:pPr>
        <w:pStyle w:val="NoSpacing"/>
        <w:jc w:val="both"/>
        <w:rPr>
          <w:rFonts w:ascii="Titillium" w:hAnsi="Titillium"/>
          <w:sz w:val="20"/>
          <w:szCs w:val="20"/>
        </w:rPr>
      </w:pPr>
    </w:p>
    <w:p w14:paraId="432BF10C" w14:textId="77777777" w:rsidR="006F4CB2" w:rsidRDefault="006F4CB2" w:rsidP="00B942CA">
      <w:pPr>
        <w:pStyle w:val="NoSpacing"/>
        <w:jc w:val="both"/>
        <w:rPr>
          <w:rFonts w:ascii="Titillium" w:hAnsi="Titillium"/>
          <w:sz w:val="20"/>
          <w:szCs w:val="20"/>
        </w:rPr>
      </w:pPr>
    </w:p>
    <w:p w14:paraId="07CB27F7" w14:textId="77777777" w:rsidR="006F4CB2" w:rsidRPr="006F4CB2" w:rsidRDefault="006F4CB2" w:rsidP="00BB579A">
      <w:pPr>
        <w:pStyle w:val="NoSpacing"/>
        <w:numPr>
          <w:ilvl w:val="0"/>
          <w:numId w:val="3"/>
        </w:numPr>
        <w:rPr>
          <w:rFonts w:ascii="Titillium" w:hAnsi="Titillium"/>
          <w:b/>
          <w:u w:val="single"/>
        </w:rPr>
      </w:pPr>
      <w:r w:rsidRPr="006F4CB2">
        <w:rPr>
          <w:rFonts w:ascii="Titillium" w:hAnsi="Titillium"/>
          <w:b/>
          <w:u w:val="single"/>
        </w:rPr>
        <w:t>OSNOVE ZA ISKLJUČENJE GOSPODARSKOG SUBJEKTA</w:t>
      </w:r>
    </w:p>
    <w:p w14:paraId="17C8D09A" w14:textId="77777777" w:rsidR="006F4CB2" w:rsidRDefault="006F4CB2" w:rsidP="006F4CB2">
      <w:pPr>
        <w:pStyle w:val="NoSpacing"/>
        <w:jc w:val="both"/>
        <w:rPr>
          <w:rFonts w:ascii="Titillium" w:hAnsi="Titillium"/>
          <w:sz w:val="20"/>
          <w:szCs w:val="20"/>
        </w:rPr>
      </w:pPr>
    </w:p>
    <w:p w14:paraId="0DF75B52" w14:textId="77777777" w:rsidR="006F4CB2" w:rsidRPr="006F4CB2" w:rsidRDefault="006F4CB2" w:rsidP="006F4CB2">
      <w:pPr>
        <w:pStyle w:val="NoSpacing"/>
        <w:jc w:val="both"/>
        <w:rPr>
          <w:rFonts w:ascii="Titillium" w:hAnsi="Titillium"/>
          <w:b/>
          <w:sz w:val="20"/>
          <w:szCs w:val="20"/>
        </w:rPr>
      </w:pPr>
      <w:r w:rsidRPr="006F4CB2">
        <w:rPr>
          <w:rFonts w:ascii="Titillium" w:hAnsi="Titillium"/>
          <w:b/>
          <w:sz w:val="20"/>
          <w:szCs w:val="20"/>
        </w:rPr>
        <w:t xml:space="preserve">3.1. </w:t>
      </w:r>
      <w:r w:rsidRPr="006F4CB2">
        <w:rPr>
          <w:rFonts w:ascii="Titillium" w:hAnsi="Titillium"/>
          <w:b/>
          <w:sz w:val="20"/>
          <w:szCs w:val="20"/>
        </w:rPr>
        <w:tab/>
        <w:t>Osnove za isključenje gospodarskog subjekta sukladno čl. 251. Zakona o javnoj nabavi</w:t>
      </w:r>
    </w:p>
    <w:p w14:paraId="4A44C36D" w14:textId="2B710FB2" w:rsidR="004763A5" w:rsidRPr="006F4CB2" w:rsidRDefault="006F4CB2" w:rsidP="00612BF5">
      <w:pPr>
        <w:pStyle w:val="NoSpacing"/>
        <w:jc w:val="both"/>
        <w:rPr>
          <w:rFonts w:ascii="Titillium" w:hAnsi="Titillium"/>
          <w:sz w:val="20"/>
          <w:szCs w:val="20"/>
        </w:rPr>
      </w:pPr>
      <w:r w:rsidRPr="006F4CB2">
        <w:rPr>
          <w:rFonts w:ascii="Titillium" w:hAnsi="Titillium"/>
          <w:sz w:val="20"/>
          <w:szCs w:val="20"/>
        </w:rPr>
        <w:t xml:space="preserve">Sukladno odredbi članka 251. ZJN 2016, Naručitelj je obvezan isključiti gospodarskog subjekta iz postupka javne nabave ako u bilo kojem trenutku tijekom postupka javne nabave </w:t>
      </w:r>
      <w:r w:rsidR="00444A13">
        <w:rPr>
          <w:rFonts w:ascii="Titillium" w:hAnsi="Titillium"/>
          <w:sz w:val="20"/>
          <w:szCs w:val="20"/>
        </w:rPr>
        <w:t xml:space="preserve">utvrdi </w:t>
      </w:r>
      <w:r w:rsidRPr="006F4CB2">
        <w:rPr>
          <w:rFonts w:ascii="Titillium" w:hAnsi="Titillium"/>
          <w:sz w:val="20"/>
          <w:szCs w:val="20"/>
        </w:rPr>
        <w:t>da je:</w:t>
      </w:r>
    </w:p>
    <w:p w14:paraId="24746EFD" w14:textId="77777777" w:rsidR="006F4CB2" w:rsidRDefault="006F4CB2" w:rsidP="00F77A9D">
      <w:pPr>
        <w:pStyle w:val="NoSpacing"/>
        <w:numPr>
          <w:ilvl w:val="0"/>
          <w:numId w:val="5"/>
        </w:numPr>
        <w:jc w:val="both"/>
        <w:rPr>
          <w:rFonts w:ascii="Titillium" w:hAnsi="Titillium"/>
          <w:b/>
          <w:sz w:val="20"/>
          <w:szCs w:val="20"/>
        </w:rPr>
      </w:pPr>
      <w:r w:rsidRPr="006F4CB2">
        <w:rPr>
          <w:rFonts w:ascii="Titillium" w:hAnsi="Titillium"/>
          <w:b/>
          <w:sz w:val="20"/>
          <w:szCs w:val="20"/>
        </w:rPr>
        <w:t xml:space="preserve">gospodarski subjekt koji ima poslovni </w:t>
      </w:r>
      <w:proofErr w:type="spellStart"/>
      <w:r w:rsidRPr="006F4CB2">
        <w:rPr>
          <w:rFonts w:ascii="Titillium" w:hAnsi="Titillium"/>
          <w:b/>
          <w:sz w:val="20"/>
          <w:szCs w:val="20"/>
        </w:rPr>
        <w:t>nastan</w:t>
      </w:r>
      <w:proofErr w:type="spellEnd"/>
      <w:r w:rsidRPr="006F4CB2">
        <w:rPr>
          <w:rFonts w:ascii="Titillium" w:hAnsi="Titillium"/>
          <w:b/>
          <w:sz w:val="20"/>
          <w:szCs w:val="20"/>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14:paraId="279AE10F" w14:textId="605DD7D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a) sudjelovanje u zločinačkoj organizaciji, na temelju</w:t>
      </w:r>
    </w:p>
    <w:p w14:paraId="7BB8CB1F" w14:textId="77777777" w:rsidR="006F4CB2" w:rsidRPr="006F4CB2" w:rsidRDefault="006F4CB2" w:rsidP="00F77A9D">
      <w:pPr>
        <w:pStyle w:val="NoSpacing"/>
        <w:numPr>
          <w:ilvl w:val="0"/>
          <w:numId w:val="6"/>
        </w:numPr>
        <w:jc w:val="both"/>
        <w:rPr>
          <w:rFonts w:ascii="Titillium" w:hAnsi="Titillium"/>
          <w:sz w:val="20"/>
          <w:szCs w:val="20"/>
        </w:rPr>
      </w:pPr>
      <w:r w:rsidRPr="006F4CB2">
        <w:rPr>
          <w:rFonts w:ascii="Titillium" w:hAnsi="Titillium"/>
          <w:sz w:val="20"/>
          <w:szCs w:val="20"/>
        </w:rPr>
        <w:t>članka 328. (zločinačko udruživanje) i članka 329. (počinjenje kaznenog djela u sastavu zločinačkog udruženja) Kaznenog zakona.</w:t>
      </w:r>
    </w:p>
    <w:p w14:paraId="7B5559D2" w14:textId="77777777" w:rsidR="006F4CB2" w:rsidRPr="00B33B87" w:rsidRDefault="006F4CB2" w:rsidP="00F77A9D">
      <w:pPr>
        <w:pStyle w:val="NoSpacing"/>
        <w:numPr>
          <w:ilvl w:val="0"/>
          <w:numId w:val="6"/>
        </w:numPr>
        <w:jc w:val="both"/>
        <w:rPr>
          <w:rFonts w:ascii="Titillium" w:hAnsi="Titillium"/>
          <w:sz w:val="20"/>
          <w:szCs w:val="20"/>
        </w:rPr>
      </w:pPr>
      <w:r w:rsidRPr="006F4CB2">
        <w:rPr>
          <w:rFonts w:ascii="Titillium" w:hAnsi="Titillium"/>
          <w:sz w:val="20"/>
          <w:szCs w:val="20"/>
        </w:rPr>
        <w:t>članka 333. (udruživanje za počinjenje kaznenih djela), iz Kaznenog zakona (</w:t>
      </w:r>
      <w:proofErr w:type="spellStart"/>
      <w:r w:rsidRPr="006F4CB2">
        <w:rPr>
          <w:rFonts w:ascii="Titillium" w:hAnsi="Titillium"/>
          <w:sz w:val="20"/>
          <w:szCs w:val="20"/>
        </w:rPr>
        <w:t>N.N</w:t>
      </w:r>
      <w:proofErr w:type="spellEnd"/>
      <w:r w:rsidRPr="006F4CB2">
        <w:rPr>
          <w:rFonts w:ascii="Titillium" w:hAnsi="Titillium"/>
          <w:sz w:val="20"/>
          <w:szCs w:val="20"/>
        </w:rPr>
        <w:t>. br. 110/97., 27/98., 50/00., 129/00., 51/01., 111/03., 190/03., 105/04., 84/05., 71/06., 110/07., 152/08., 57/11., 77/11. i 143/12.)</w:t>
      </w:r>
    </w:p>
    <w:p w14:paraId="1463CD58" w14:textId="77777777" w:rsidR="006F4CB2" w:rsidRPr="006F4CB2" w:rsidRDefault="006F4CB2" w:rsidP="006F4CB2">
      <w:pPr>
        <w:pStyle w:val="NoSpacing"/>
        <w:ind w:left="720"/>
        <w:jc w:val="both"/>
        <w:rPr>
          <w:rFonts w:ascii="Titillium" w:hAnsi="Titillium"/>
          <w:sz w:val="20"/>
          <w:szCs w:val="20"/>
        </w:rPr>
      </w:pPr>
    </w:p>
    <w:p w14:paraId="53C96CC7"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b) korupciju, na temelju</w:t>
      </w:r>
    </w:p>
    <w:p w14:paraId="715EF6E4" w14:textId="77777777" w:rsidR="006F4CB2" w:rsidRPr="006F4CB2" w:rsidRDefault="006F4CB2" w:rsidP="00F77A9D">
      <w:pPr>
        <w:pStyle w:val="NoSpacing"/>
        <w:numPr>
          <w:ilvl w:val="0"/>
          <w:numId w:val="7"/>
        </w:numPr>
        <w:jc w:val="both"/>
        <w:rPr>
          <w:rFonts w:ascii="Titillium" w:hAnsi="Titillium"/>
          <w:sz w:val="20"/>
          <w:szCs w:val="20"/>
        </w:rPr>
      </w:pPr>
      <w:r w:rsidRPr="006F4CB2">
        <w:rPr>
          <w:rFonts w:ascii="Titillium" w:hAnsi="Titillium"/>
          <w:sz w:val="20"/>
          <w:szCs w:val="20"/>
        </w:rPr>
        <w:t>članka 252. (primanje mita u gospodarskom poslovanju), članka 253. (davanja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332788B" w14:textId="77777777" w:rsidR="006F4CB2" w:rsidRPr="006F4CB2" w:rsidRDefault="006F4CB2" w:rsidP="00F77A9D">
      <w:pPr>
        <w:pStyle w:val="NoSpacing"/>
        <w:numPr>
          <w:ilvl w:val="0"/>
          <w:numId w:val="7"/>
        </w:numPr>
        <w:jc w:val="both"/>
        <w:rPr>
          <w:rFonts w:ascii="Titillium" w:hAnsi="Titillium"/>
          <w:sz w:val="20"/>
          <w:szCs w:val="20"/>
        </w:rPr>
      </w:pPr>
      <w:r w:rsidRPr="006F4CB2">
        <w:rPr>
          <w:rFonts w:ascii="Titillium" w:hAnsi="Titillium"/>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članka 348. (davanje mita) iz Kaznenog zakona (</w:t>
      </w:r>
      <w:proofErr w:type="spellStart"/>
      <w:r w:rsidRPr="006F4CB2">
        <w:rPr>
          <w:rFonts w:ascii="Titillium" w:hAnsi="Titillium"/>
          <w:sz w:val="20"/>
          <w:szCs w:val="20"/>
        </w:rPr>
        <w:t>N.N</w:t>
      </w:r>
      <w:proofErr w:type="spellEnd"/>
      <w:r w:rsidRPr="006F4CB2">
        <w:rPr>
          <w:rFonts w:ascii="Titillium" w:hAnsi="Titillium"/>
          <w:sz w:val="20"/>
          <w:szCs w:val="20"/>
        </w:rPr>
        <w:t>. br. 110/97., 27/98., 50/00., 129/00., 51/01., 111/03., 190/03., 105/04., 84/05., 71/06., 110/07., 152/08., 57/11., 77/11. i 143/12.)</w:t>
      </w:r>
    </w:p>
    <w:p w14:paraId="2247661B" w14:textId="77777777" w:rsidR="006F4CB2" w:rsidRPr="006F4CB2" w:rsidRDefault="006F4CB2" w:rsidP="006F4CB2">
      <w:pPr>
        <w:pStyle w:val="NoSpacing"/>
        <w:jc w:val="both"/>
        <w:rPr>
          <w:rFonts w:ascii="Titillium" w:hAnsi="Titillium"/>
          <w:sz w:val="20"/>
          <w:szCs w:val="20"/>
        </w:rPr>
      </w:pPr>
    </w:p>
    <w:p w14:paraId="2824EC15"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c) prijevaru na temelju</w:t>
      </w:r>
    </w:p>
    <w:p w14:paraId="2B81A60A" w14:textId="77777777" w:rsidR="006F4CB2" w:rsidRPr="006F4CB2" w:rsidRDefault="006F4CB2" w:rsidP="00F77A9D">
      <w:pPr>
        <w:pStyle w:val="NoSpacing"/>
        <w:numPr>
          <w:ilvl w:val="0"/>
          <w:numId w:val="8"/>
        </w:numPr>
        <w:jc w:val="both"/>
        <w:rPr>
          <w:rFonts w:ascii="Titillium" w:hAnsi="Titillium"/>
          <w:sz w:val="20"/>
          <w:szCs w:val="20"/>
        </w:rPr>
      </w:pPr>
      <w:r w:rsidRPr="006F4CB2">
        <w:rPr>
          <w:rFonts w:ascii="Titillium" w:hAnsi="Titillium"/>
          <w:sz w:val="20"/>
          <w:szCs w:val="20"/>
        </w:rPr>
        <w:t>članka 236. (prijevara), članka 247. (prijevara u gospodarskom poslovanju), članka 256. (utaja poreza ili carine) i članka 258. ( subvencijska prijevara) Kaznenog zakona</w:t>
      </w:r>
    </w:p>
    <w:p w14:paraId="27CBA141" w14:textId="77777777" w:rsidR="006F4CB2" w:rsidRPr="006F4CB2" w:rsidRDefault="006F4CB2" w:rsidP="00F77A9D">
      <w:pPr>
        <w:pStyle w:val="NoSpacing"/>
        <w:numPr>
          <w:ilvl w:val="0"/>
          <w:numId w:val="8"/>
        </w:numPr>
        <w:jc w:val="both"/>
        <w:rPr>
          <w:rFonts w:ascii="Titillium" w:hAnsi="Titillium"/>
          <w:sz w:val="20"/>
          <w:szCs w:val="20"/>
        </w:rPr>
      </w:pPr>
      <w:r w:rsidRPr="006F4CB2">
        <w:rPr>
          <w:rFonts w:ascii="Titillium" w:hAnsi="Titillium"/>
          <w:sz w:val="20"/>
          <w:szCs w:val="20"/>
        </w:rPr>
        <w:t>članka 224. (prijevara), članka 293. (prijevara u gospodarskom poslovanju) i članka286. (utaja poreza i drugih davanja) iz Kaznenog zakona (N.N.br. 110/97., 27/98., 50/00., 129/00., 51/01., 111/03., 190/03., 105/04., 84/05., 71/06., 110/07., 152/08., 57/11., 77/11. i 143/12.)</w:t>
      </w:r>
    </w:p>
    <w:p w14:paraId="49F6095D" w14:textId="77777777" w:rsidR="006F4CB2" w:rsidRPr="006F4CB2" w:rsidRDefault="006F4CB2" w:rsidP="006F4CB2">
      <w:pPr>
        <w:pStyle w:val="NoSpacing"/>
        <w:jc w:val="both"/>
        <w:rPr>
          <w:rFonts w:ascii="Titillium" w:hAnsi="Titillium"/>
          <w:sz w:val="20"/>
          <w:szCs w:val="20"/>
        </w:rPr>
      </w:pPr>
    </w:p>
    <w:p w14:paraId="7ED20AF3"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d) terorizam ili kaznena djela povezana s terorističkom aktivnostima, na temelju</w:t>
      </w:r>
    </w:p>
    <w:p w14:paraId="5AFB0822" w14:textId="77777777" w:rsidR="006F4CB2" w:rsidRPr="006F4CB2" w:rsidRDefault="006F4CB2" w:rsidP="00F77A9D">
      <w:pPr>
        <w:pStyle w:val="NoSpacing"/>
        <w:numPr>
          <w:ilvl w:val="0"/>
          <w:numId w:val="9"/>
        </w:numPr>
        <w:jc w:val="both"/>
        <w:rPr>
          <w:rFonts w:ascii="Titillium" w:hAnsi="Titillium"/>
          <w:sz w:val="20"/>
          <w:szCs w:val="20"/>
        </w:rPr>
      </w:pPr>
      <w:r w:rsidRPr="006F4CB2">
        <w:rPr>
          <w:rFonts w:ascii="Titillium" w:hAnsi="Titillium"/>
          <w:sz w:val="20"/>
          <w:szCs w:val="20"/>
        </w:rPr>
        <w:t>članka 97. (terorizam), članka 99. (javno poticanje na terorizam), članka 100. (novačenje za terorizam), članka 101. (obuka za terorizam) i članka 102. (terorističko udruženje) Kaznenog zakona</w:t>
      </w:r>
    </w:p>
    <w:p w14:paraId="6B73E3EE" w14:textId="77777777" w:rsidR="006F4CB2" w:rsidRPr="006F4CB2" w:rsidRDefault="006F4CB2" w:rsidP="00F77A9D">
      <w:pPr>
        <w:pStyle w:val="NoSpacing"/>
        <w:numPr>
          <w:ilvl w:val="0"/>
          <w:numId w:val="9"/>
        </w:numPr>
        <w:jc w:val="both"/>
        <w:rPr>
          <w:rFonts w:ascii="Titillium" w:hAnsi="Titillium"/>
          <w:sz w:val="20"/>
          <w:szCs w:val="20"/>
        </w:rPr>
      </w:pPr>
      <w:r w:rsidRPr="006F4CB2">
        <w:rPr>
          <w:rFonts w:ascii="Titillium" w:hAnsi="Titillium"/>
          <w:sz w:val="20"/>
          <w:szCs w:val="20"/>
        </w:rPr>
        <w:t>članka 169. (terorizam), članka 169.a (javno poticanje na terorizam) i članka 169.b (novačenje i obuka za terorizam) iz Kaznenog zakona (N.N.br. 110/97., 27/98., 50/00., 129/00., 51/01., 111/03., 190/03., 105/04., 84/05., 71/06., 110/07., 152/08., 57/11., 77/11. i 143/12.)</w:t>
      </w:r>
    </w:p>
    <w:p w14:paraId="57FC0AA9" w14:textId="77777777" w:rsidR="006F4CB2" w:rsidRPr="006F4CB2" w:rsidRDefault="006F4CB2" w:rsidP="006F4CB2">
      <w:pPr>
        <w:pStyle w:val="NoSpacing"/>
        <w:jc w:val="both"/>
        <w:rPr>
          <w:rFonts w:ascii="Titillium" w:hAnsi="Titillium"/>
          <w:sz w:val="20"/>
          <w:szCs w:val="20"/>
        </w:rPr>
      </w:pPr>
    </w:p>
    <w:p w14:paraId="7B31D021"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e) pranje novca ili financiranje terorizma, na temelju</w:t>
      </w:r>
    </w:p>
    <w:p w14:paraId="410A80EB" w14:textId="77777777" w:rsidR="006F4CB2" w:rsidRPr="006F4CB2" w:rsidRDefault="006F4CB2" w:rsidP="00F77A9D">
      <w:pPr>
        <w:pStyle w:val="NoSpacing"/>
        <w:numPr>
          <w:ilvl w:val="0"/>
          <w:numId w:val="10"/>
        </w:numPr>
        <w:jc w:val="both"/>
        <w:rPr>
          <w:rFonts w:ascii="Titillium" w:hAnsi="Titillium"/>
          <w:sz w:val="20"/>
          <w:szCs w:val="20"/>
        </w:rPr>
      </w:pPr>
      <w:r w:rsidRPr="006F4CB2">
        <w:rPr>
          <w:rFonts w:ascii="Titillium" w:hAnsi="Titillium"/>
          <w:sz w:val="20"/>
          <w:szCs w:val="20"/>
        </w:rPr>
        <w:t>članka 98. (financiranje terorizma) i članka 265. (pranje novca) Kaznenog zakona</w:t>
      </w:r>
    </w:p>
    <w:p w14:paraId="4B0085D2" w14:textId="77777777" w:rsidR="006F4CB2" w:rsidRPr="006F4CB2" w:rsidRDefault="006F4CB2" w:rsidP="00F77A9D">
      <w:pPr>
        <w:pStyle w:val="NoSpacing"/>
        <w:numPr>
          <w:ilvl w:val="0"/>
          <w:numId w:val="10"/>
        </w:numPr>
        <w:jc w:val="both"/>
        <w:rPr>
          <w:rFonts w:ascii="Titillium" w:hAnsi="Titillium"/>
          <w:sz w:val="20"/>
          <w:szCs w:val="20"/>
        </w:rPr>
      </w:pPr>
      <w:r w:rsidRPr="006F4CB2">
        <w:rPr>
          <w:rFonts w:ascii="Titillium" w:hAnsi="Titillium"/>
          <w:sz w:val="20"/>
          <w:szCs w:val="20"/>
        </w:rPr>
        <w:t>članka 279. (pranje novca) iz Kaznenog zakona (N.N.br. 110/97., 27/98., 50/00., 129/00., 51/01., 111/03., 190/03., 105/04., 84/05., 71/06., 110/07., 152/08., 57/11., 77/11. i 143/12.)</w:t>
      </w:r>
    </w:p>
    <w:p w14:paraId="6E1AA9F2" w14:textId="77777777" w:rsidR="006F4CB2" w:rsidRPr="006F4CB2" w:rsidRDefault="006F4CB2" w:rsidP="006F4CB2">
      <w:pPr>
        <w:pStyle w:val="NoSpacing"/>
        <w:jc w:val="both"/>
        <w:rPr>
          <w:rFonts w:ascii="Titillium" w:hAnsi="Titillium"/>
          <w:sz w:val="20"/>
          <w:szCs w:val="20"/>
        </w:rPr>
      </w:pPr>
    </w:p>
    <w:p w14:paraId="0FF68EE5"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 xml:space="preserve">f) dječji rad ili duge oblike trgovanja ljudima, na temelju </w:t>
      </w:r>
    </w:p>
    <w:p w14:paraId="00D4A2EA" w14:textId="77777777" w:rsidR="006F4CB2" w:rsidRPr="006F4CB2" w:rsidRDefault="006F4CB2" w:rsidP="00F77A9D">
      <w:pPr>
        <w:pStyle w:val="NoSpacing"/>
        <w:numPr>
          <w:ilvl w:val="0"/>
          <w:numId w:val="11"/>
        </w:numPr>
        <w:jc w:val="both"/>
        <w:rPr>
          <w:rFonts w:ascii="Titillium" w:hAnsi="Titillium"/>
          <w:sz w:val="20"/>
          <w:szCs w:val="20"/>
        </w:rPr>
      </w:pPr>
      <w:r w:rsidRPr="006F4CB2">
        <w:rPr>
          <w:rFonts w:ascii="Titillium" w:hAnsi="Titillium"/>
          <w:sz w:val="20"/>
          <w:szCs w:val="20"/>
        </w:rPr>
        <w:t>članka 106. (trgovanje ljudima) Kaznenog zakona</w:t>
      </w:r>
    </w:p>
    <w:p w14:paraId="787A9590" w14:textId="77777777" w:rsidR="006F4CB2" w:rsidRPr="006F4CB2" w:rsidRDefault="006F4CB2" w:rsidP="00F77A9D">
      <w:pPr>
        <w:pStyle w:val="NoSpacing"/>
        <w:numPr>
          <w:ilvl w:val="0"/>
          <w:numId w:val="11"/>
        </w:numPr>
        <w:jc w:val="both"/>
        <w:rPr>
          <w:rFonts w:ascii="Titillium" w:hAnsi="Titillium"/>
          <w:sz w:val="20"/>
          <w:szCs w:val="20"/>
        </w:rPr>
      </w:pPr>
      <w:r w:rsidRPr="006F4CB2">
        <w:rPr>
          <w:rFonts w:ascii="Titillium" w:hAnsi="Titillium"/>
          <w:sz w:val="20"/>
          <w:szCs w:val="20"/>
        </w:rPr>
        <w:t xml:space="preserve">članka 175. (trgovanje ljudima i ropstvo) iz Kaznenog zakona (N.N.br. 110/97., 27/98., 50/00., 129/00., 51/01., 111/03., 190/03., 105/04., 84/05., 71/06., 110/07., 152/08., 57/11., 77/11. i 143/12.), </w:t>
      </w:r>
    </w:p>
    <w:p w14:paraId="11C8BC1D" w14:textId="77777777" w:rsidR="006F4CB2" w:rsidRPr="006F4CB2" w:rsidRDefault="006F4CB2" w:rsidP="006F4CB2">
      <w:pPr>
        <w:pStyle w:val="NoSpacing"/>
        <w:jc w:val="both"/>
        <w:rPr>
          <w:rFonts w:ascii="Titillium" w:hAnsi="Titillium"/>
          <w:sz w:val="20"/>
          <w:szCs w:val="20"/>
        </w:rPr>
      </w:pPr>
    </w:p>
    <w:p w14:paraId="5CE55ADB" w14:textId="4C1AC2D7" w:rsidR="006F4CB2" w:rsidRDefault="006F4CB2" w:rsidP="006F4CB2">
      <w:pPr>
        <w:pStyle w:val="NoSpacing"/>
        <w:jc w:val="both"/>
        <w:rPr>
          <w:rFonts w:ascii="Titillium" w:hAnsi="Titillium"/>
          <w:sz w:val="20"/>
          <w:szCs w:val="20"/>
        </w:rPr>
      </w:pPr>
      <w:r w:rsidRPr="006F4CB2">
        <w:rPr>
          <w:rFonts w:ascii="Titillium" w:hAnsi="Titillium"/>
          <w:sz w:val="20"/>
          <w:szCs w:val="20"/>
        </w:rPr>
        <w:t>ili</w:t>
      </w:r>
    </w:p>
    <w:p w14:paraId="39B196F6" w14:textId="77777777" w:rsidR="004763A5" w:rsidRPr="006F4CB2" w:rsidRDefault="004763A5" w:rsidP="006F4CB2">
      <w:pPr>
        <w:pStyle w:val="NoSpacing"/>
        <w:jc w:val="both"/>
        <w:rPr>
          <w:rFonts w:ascii="Titillium" w:hAnsi="Titillium"/>
          <w:sz w:val="20"/>
          <w:szCs w:val="20"/>
        </w:rPr>
      </w:pPr>
    </w:p>
    <w:p w14:paraId="65DB77D8" w14:textId="77777777" w:rsidR="006F4CB2" w:rsidRPr="006F4CB2" w:rsidRDefault="006F4CB2" w:rsidP="006F4CB2">
      <w:pPr>
        <w:pStyle w:val="NoSpacing"/>
        <w:jc w:val="both"/>
        <w:rPr>
          <w:rFonts w:ascii="Titillium" w:hAnsi="Titillium"/>
          <w:sz w:val="20"/>
          <w:szCs w:val="20"/>
        </w:rPr>
      </w:pPr>
    </w:p>
    <w:p w14:paraId="2F919613" w14:textId="5CCB98CD" w:rsidR="006F4CB2" w:rsidRPr="006F4CB2" w:rsidRDefault="006F4CB2" w:rsidP="006F4CB2">
      <w:pPr>
        <w:pStyle w:val="NoSpacing"/>
        <w:numPr>
          <w:ilvl w:val="0"/>
          <w:numId w:val="2"/>
        </w:numPr>
        <w:jc w:val="both"/>
        <w:rPr>
          <w:rFonts w:ascii="Titillium" w:hAnsi="Titillium"/>
          <w:b/>
          <w:sz w:val="20"/>
          <w:szCs w:val="20"/>
        </w:rPr>
      </w:pPr>
      <w:r w:rsidRPr="006F4CB2">
        <w:rPr>
          <w:rFonts w:ascii="Titillium" w:hAnsi="Titillium"/>
          <w:b/>
          <w:sz w:val="20"/>
          <w:szCs w:val="20"/>
        </w:rPr>
        <w:t xml:space="preserve">je gospodarski subjekt koji nema poslovni </w:t>
      </w:r>
      <w:proofErr w:type="spellStart"/>
      <w:r w:rsidRPr="006F4CB2">
        <w:rPr>
          <w:rFonts w:ascii="Titillium" w:hAnsi="Titillium"/>
          <w:b/>
          <w:sz w:val="20"/>
          <w:szCs w:val="20"/>
        </w:rPr>
        <w:t>nastan</w:t>
      </w:r>
      <w:proofErr w:type="spellEnd"/>
      <w:r w:rsidRPr="006F4CB2">
        <w:rPr>
          <w:rFonts w:ascii="Titillium" w:hAnsi="Titillium"/>
          <w:b/>
          <w:sz w:val="20"/>
          <w:szCs w:val="20"/>
        </w:rPr>
        <w:t xml:space="preserve"> u Republici Hrvatskoj ili osoba koja je član upravnog, upravljačkog ili nadzornog tijela ili ima ovlasti zastupanja, donošenja odluka ili nadzora tog gospodarskog subjekta i koja nije državljanin Republike Hrvatske pravomoćnom presudom osuđen za kaznena djela iz točke 3.1. </w:t>
      </w:r>
      <w:proofErr w:type="spellStart"/>
      <w:r w:rsidRPr="006F4CB2">
        <w:rPr>
          <w:rFonts w:ascii="Titillium" w:hAnsi="Titillium"/>
          <w:b/>
          <w:sz w:val="20"/>
          <w:szCs w:val="20"/>
        </w:rPr>
        <w:t>podtočke</w:t>
      </w:r>
      <w:proofErr w:type="spellEnd"/>
      <w:r w:rsidRPr="006F4CB2">
        <w:rPr>
          <w:rFonts w:ascii="Titillium" w:hAnsi="Titillium"/>
          <w:b/>
          <w:sz w:val="20"/>
          <w:szCs w:val="20"/>
        </w:rPr>
        <w:t xml:space="preserve"> 1. od a) do f) i za odgovarajuća kaznena djela prema nacionalnim propisima države poslovnog </w:t>
      </w:r>
      <w:proofErr w:type="spellStart"/>
      <w:r w:rsidRPr="006F4CB2">
        <w:rPr>
          <w:rFonts w:ascii="Titillium" w:hAnsi="Titillium"/>
          <w:b/>
          <w:sz w:val="20"/>
          <w:szCs w:val="20"/>
        </w:rPr>
        <w:t>nastana</w:t>
      </w:r>
      <w:proofErr w:type="spellEnd"/>
      <w:r w:rsidRPr="006F4CB2">
        <w:rPr>
          <w:rFonts w:ascii="Titillium" w:hAnsi="Titillium"/>
          <w:b/>
          <w:sz w:val="20"/>
          <w:szCs w:val="20"/>
        </w:rPr>
        <w:t xml:space="preserve"> gospodarskog subjekta, odnosno države čiji je osoba državljanin, obuhvaćaju razlog</w:t>
      </w:r>
      <w:r w:rsidR="00444A13">
        <w:rPr>
          <w:rFonts w:ascii="Titillium" w:hAnsi="Titillium"/>
          <w:b/>
          <w:sz w:val="20"/>
          <w:szCs w:val="20"/>
        </w:rPr>
        <w:t xml:space="preserve">e za isključenje iz članka 57. </w:t>
      </w:r>
      <w:r w:rsidRPr="006F4CB2">
        <w:rPr>
          <w:rFonts w:ascii="Titillium" w:hAnsi="Titillium"/>
          <w:b/>
          <w:sz w:val="20"/>
          <w:szCs w:val="20"/>
        </w:rPr>
        <w:t>stavka 1. točka od (a) do (f) Direktive 2014/24/EU.</w:t>
      </w:r>
    </w:p>
    <w:p w14:paraId="7F37335C" w14:textId="77777777" w:rsidR="006F4CB2" w:rsidRPr="006F4CB2" w:rsidRDefault="006F4CB2" w:rsidP="006F4CB2">
      <w:pPr>
        <w:pStyle w:val="NoSpacing"/>
        <w:jc w:val="both"/>
        <w:rPr>
          <w:rFonts w:ascii="Titillium" w:hAnsi="Titillium"/>
          <w:sz w:val="20"/>
          <w:szCs w:val="20"/>
        </w:rPr>
      </w:pPr>
    </w:p>
    <w:p w14:paraId="03BA562C"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 xml:space="preserve">Za potrebe utvrđivanja gore navedenog, gospodarski subjekt u ponudi dostavlja: </w:t>
      </w:r>
    </w:p>
    <w:p w14:paraId="1E88924E" w14:textId="77777777" w:rsidR="006F4CB2" w:rsidRPr="006F4CB2" w:rsidRDefault="006F4CB2" w:rsidP="00F77A9D">
      <w:pPr>
        <w:pStyle w:val="NoSpacing"/>
        <w:numPr>
          <w:ilvl w:val="0"/>
          <w:numId w:val="12"/>
        </w:numPr>
        <w:jc w:val="both"/>
        <w:rPr>
          <w:rFonts w:ascii="Titillium" w:hAnsi="Titillium"/>
          <w:b/>
          <w:bCs/>
          <w:sz w:val="20"/>
          <w:szCs w:val="20"/>
        </w:rPr>
      </w:pPr>
      <w:r w:rsidRPr="006F4CB2">
        <w:rPr>
          <w:rFonts w:ascii="Titillium" w:hAnsi="Titillium"/>
          <w:b/>
          <w:bCs/>
          <w:sz w:val="20"/>
          <w:szCs w:val="20"/>
        </w:rPr>
        <w:t>ispunjeni obrazac Europske jedinstvene dokumentacije o nabavi (dalje: ESPD): Dio III. Osnove za isključenje, Odjeljak A: Osnove povezane s kaznenim presudama, za sve gospodarske subjekte u ponudi.</w:t>
      </w:r>
    </w:p>
    <w:p w14:paraId="78617647" w14:textId="77777777" w:rsidR="006F4CB2" w:rsidRPr="006F4CB2" w:rsidRDefault="006F4CB2" w:rsidP="006F4CB2">
      <w:pPr>
        <w:pStyle w:val="NoSpacing"/>
        <w:jc w:val="both"/>
        <w:rPr>
          <w:rFonts w:ascii="Titillium" w:hAnsi="Titillium"/>
          <w:sz w:val="20"/>
          <w:szCs w:val="20"/>
        </w:rPr>
      </w:pPr>
    </w:p>
    <w:p w14:paraId="4E03679F" w14:textId="77777777" w:rsidR="006F4CB2" w:rsidRPr="006F4CB2" w:rsidRDefault="006F4CB2" w:rsidP="006F4CB2">
      <w:pPr>
        <w:pStyle w:val="NoSpacing"/>
        <w:jc w:val="both"/>
        <w:rPr>
          <w:rFonts w:ascii="Titillium" w:hAnsi="Titillium"/>
          <w:b/>
          <w:sz w:val="20"/>
          <w:szCs w:val="20"/>
        </w:rPr>
      </w:pPr>
      <w:r w:rsidRPr="006F4CB2">
        <w:rPr>
          <w:rFonts w:ascii="Titillium" w:hAnsi="Titillium"/>
          <w:b/>
          <w:sz w:val="20"/>
          <w:szCs w:val="20"/>
        </w:rPr>
        <w:t>Odredbe o ''</w:t>
      </w:r>
      <w:proofErr w:type="spellStart"/>
      <w:r w:rsidRPr="006F4CB2">
        <w:rPr>
          <w:rFonts w:ascii="Titillium" w:hAnsi="Titillium"/>
          <w:b/>
          <w:sz w:val="20"/>
          <w:szCs w:val="20"/>
        </w:rPr>
        <w:t>samokorigiranju</w:t>
      </w:r>
      <w:proofErr w:type="spellEnd"/>
      <w:r w:rsidRPr="006F4CB2">
        <w:rPr>
          <w:rFonts w:ascii="Titillium" w:hAnsi="Titillium"/>
          <w:b/>
          <w:sz w:val="20"/>
          <w:szCs w:val="20"/>
        </w:rPr>
        <w:t xml:space="preserve">'': </w:t>
      </w:r>
    </w:p>
    <w:p w14:paraId="73AB12E7"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Gospodarski subjekt kod kojeg su ostvarene navedene osnove za isključenje može Naručitelju dostaviti dokaze o mjerama koje je poduzeo kako bi dokazao svoju pouzdanost bez obzira na postojanje relevantne osnove za isključenje. Takav gospodarski subjekt obvezan je u ESPD obrascu Dio III. Osnove za isključenje, Odjeljak A: Osnove povezane s kaznenim presudama opisati poduzete mjere vezano uz ''</w:t>
      </w:r>
      <w:proofErr w:type="spellStart"/>
      <w:r w:rsidRPr="006F4CB2">
        <w:rPr>
          <w:rFonts w:ascii="Titillium" w:hAnsi="Titillium"/>
          <w:sz w:val="20"/>
          <w:szCs w:val="20"/>
        </w:rPr>
        <w:t>samokorigiranje</w:t>
      </w:r>
      <w:proofErr w:type="spellEnd"/>
      <w:r w:rsidRPr="006F4CB2">
        <w:rPr>
          <w:rFonts w:ascii="Titillium" w:hAnsi="Titillium"/>
          <w:sz w:val="20"/>
          <w:szCs w:val="20"/>
        </w:rPr>
        <w:t xml:space="preserve">''. </w:t>
      </w:r>
    </w:p>
    <w:p w14:paraId="05012773" w14:textId="77777777" w:rsidR="006F4CB2" w:rsidRPr="006F4CB2" w:rsidRDefault="006F4CB2" w:rsidP="006F4CB2">
      <w:pPr>
        <w:pStyle w:val="NoSpacing"/>
        <w:jc w:val="both"/>
        <w:rPr>
          <w:rFonts w:ascii="Titillium" w:hAnsi="Titillium"/>
          <w:sz w:val="20"/>
          <w:szCs w:val="20"/>
        </w:rPr>
      </w:pPr>
    </w:p>
    <w:p w14:paraId="18532040"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 xml:space="preserve">Poduzimanje mjera gospodarski subjekt dokazuje: </w:t>
      </w:r>
    </w:p>
    <w:p w14:paraId="4808F6F0" w14:textId="77777777" w:rsidR="006F4CB2" w:rsidRPr="006F4CB2" w:rsidRDefault="006F4CB2" w:rsidP="00F77A9D">
      <w:pPr>
        <w:pStyle w:val="NoSpacing"/>
        <w:numPr>
          <w:ilvl w:val="3"/>
          <w:numId w:val="4"/>
        </w:numPr>
        <w:jc w:val="both"/>
        <w:rPr>
          <w:rFonts w:ascii="Titillium" w:hAnsi="Titillium"/>
          <w:sz w:val="20"/>
          <w:szCs w:val="20"/>
        </w:rPr>
      </w:pPr>
      <w:r w:rsidRPr="006F4CB2">
        <w:rPr>
          <w:rFonts w:ascii="Titillium" w:hAnsi="Titillium"/>
          <w:sz w:val="20"/>
          <w:szCs w:val="20"/>
        </w:rPr>
        <w:t xml:space="preserve">plaćanjem naknade štete ili poduzimanjem drugih odgovarajućih mjera u cilju plaćanja naknade štete prouzročene kaznenim djelom ili propustom, </w:t>
      </w:r>
    </w:p>
    <w:p w14:paraId="1AF63E2A" w14:textId="77777777" w:rsidR="006F4CB2" w:rsidRPr="006F4CB2" w:rsidRDefault="006F4CB2" w:rsidP="00F77A9D">
      <w:pPr>
        <w:pStyle w:val="NoSpacing"/>
        <w:numPr>
          <w:ilvl w:val="3"/>
          <w:numId w:val="4"/>
        </w:numPr>
        <w:jc w:val="both"/>
        <w:rPr>
          <w:rFonts w:ascii="Titillium" w:hAnsi="Titillium"/>
          <w:sz w:val="20"/>
          <w:szCs w:val="20"/>
        </w:rPr>
      </w:pPr>
      <w:r w:rsidRPr="006F4CB2">
        <w:rPr>
          <w:rFonts w:ascii="Titillium" w:hAnsi="Titillium"/>
          <w:sz w:val="20"/>
          <w:szCs w:val="20"/>
        </w:rPr>
        <w:t xml:space="preserve">aktivnom suradnjom s nadležnim istražnim tijelima radi potpunog razjašnjenja činjenica i okolnosti u vezi s kaznenim djelom ili propustom, </w:t>
      </w:r>
    </w:p>
    <w:p w14:paraId="73BB9717" w14:textId="77777777" w:rsidR="006F4CB2" w:rsidRPr="006F4CB2" w:rsidRDefault="006F4CB2" w:rsidP="00F77A9D">
      <w:pPr>
        <w:pStyle w:val="NoSpacing"/>
        <w:numPr>
          <w:ilvl w:val="3"/>
          <w:numId w:val="4"/>
        </w:numPr>
        <w:jc w:val="both"/>
        <w:rPr>
          <w:rFonts w:ascii="Titillium" w:hAnsi="Titillium"/>
          <w:sz w:val="20"/>
          <w:szCs w:val="20"/>
        </w:rPr>
      </w:pPr>
      <w:r w:rsidRPr="006F4CB2">
        <w:rPr>
          <w:rFonts w:ascii="Titillium" w:hAnsi="Titillium"/>
          <w:sz w:val="20"/>
          <w:szCs w:val="20"/>
        </w:rPr>
        <w:t xml:space="preserve">odgovarajućim tehničkim, organizacijskim i kadrovskim mjerama radi sprječavanja daljnjih kaznenih djela ili propusta. </w:t>
      </w:r>
    </w:p>
    <w:p w14:paraId="7EA03248" w14:textId="77777777" w:rsidR="006F4CB2" w:rsidRPr="006F4CB2" w:rsidRDefault="006F4CB2" w:rsidP="006F4CB2">
      <w:pPr>
        <w:pStyle w:val="NoSpacing"/>
        <w:jc w:val="both"/>
        <w:rPr>
          <w:rFonts w:ascii="Titillium" w:hAnsi="Titillium"/>
          <w:sz w:val="20"/>
          <w:szCs w:val="20"/>
        </w:rPr>
      </w:pPr>
    </w:p>
    <w:p w14:paraId="62B5E7C5"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U cilju dokazivanja gore navedenih poduzetih mjera, Ponuditelj u ponudi dostavlja dokaze o mjerama koje je poduzeo. Mjere koje je poduzeo gospodarski subjekt, ocjenjuju se uzimajući u obzir težinu i posebne okolnosti kaznenog djela ili propusta i dostavljene dokaze ponuditelja. Naručitelj neće isključiti gospodarskog subjekta iz postupka javne nabave ako je ocijenjeno da su poduzete mjere primjerene. Gospodarski subjekt kojem je pravomoćnom presudom određena zabrana sudjelovanja u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 Razdoblje isključenja ponuditelja kod kojeg su ostvarene osnove za isključenje</w:t>
      </w:r>
      <w:r>
        <w:rPr>
          <w:rFonts w:ascii="Titillium" w:hAnsi="Titillium"/>
          <w:sz w:val="20"/>
          <w:szCs w:val="20"/>
        </w:rPr>
        <w:t xml:space="preserve"> </w:t>
      </w:r>
      <w:r w:rsidRPr="006F4CB2">
        <w:rPr>
          <w:rFonts w:ascii="Titillium" w:hAnsi="Titillium"/>
          <w:sz w:val="20"/>
          <w:szCs w:val="20"/>
        </w:rPr>
        <w:t xml:space="preserve">iz točke 3.1. </w:t>
      </w:r>
      <w:proofErr w:type="spellStart"/>
      <w:r w:rsidRPr="006F4CB2">
        <w:rPr>
          <w:rFonts w:ascii="Titillium" w:hAnsi="Titillium"/>
          <w:sz w:val="20"/>
          <w:szCs w:val="20"/>
        </w:rPr>
        <w:t>podtočaka</w:t>
      </w:r>
      <w:proofErr w:type="spellEnd"/>
      <w:r w:rsidRPr="006F4CB2">
        <w:rPr>
          <w:rFonts w:ascii="Titillium" w:hAnsi="Titillium"/>
          <w:sz w:val="20"/>
          <w:szCs w:val="20"/>
        </w:rPr>
        <w:t xml:space="preserve"> od a) do f) ove Dokumentacije je pet godina od dana pravomoćnosti presude, osim ako pravomoćnom presudom nije utvrđeno drukčije.</w:t>
      </w:r>
    </w:p>
    <w:p w14:paraId="778954E4" w14:textId="77777777" w:rsidR="006F4CB2" w:rsidRPr="006F4CB2" w:rsidRDefault="006F4CB2" w:rsidP="006F4CB2">
      <w:pPr>
        <w:pStyle w:val="NoSpacing"/>
        <w:jc w:val="both"/>
        <w:rPr>
          <w:rFonts w:ascii="Titillium" w:hAnsi="Titillium"/>
          <w:sz w:val="20"/>
          <w:szCs w:val="20"/>
        </w:rPr>
      </w:pPr>
    </w:p>
    <w:p w14:paraId="6A8AB758"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 </w:t>
      </w:r>
    </w:p>
    <w:p w14:paraId="66A8A95F" w14:textId="77777777" w:rsidR="006F4CB2" w:rsidRPr="006F4CB2" w:rsidRDefault="006F4CB2" w:rsidP="006F4CB2">
      <w:pPr>
        <w:pStyle w:val="NoSpacing"/>
        <w:jc w:val="both"/>
        <w:rPr>
          <w:rFonts w:ascii="Titillium" w:hAnsi="Titillium"/>
          <w:sz w:val="20"/>
          <w:szCs w:val="20"/>
        </w:rPr>
      </w:pPr>
    </w:p>
    <w:p w14:paraId="1D6CB793" w14:textId="77777777" w:rsidR="004763A5" w:rsidRDefault="004763A5" w:rsidP="006F4CB2">
      <w:pPr>
        <w:pStyle w:val="NoSpacing"/>
        <w:jc w:val="both"/>
        <w:rPr>
          <w:rFonts w:ascii="Titillium" w:hAnsi="Titillium"/>
          <w:sz w:val="20"/>
          <w:szCs w:val="20"/>
        </w:rPr>
      </w:pPr>
    </w:p>
    <w:p w14:paraId="6F768BC2" w14:textId="6B78F355"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Ako se ne može obaviti provjera ili ishoditi potvrda sukladno gore navedenom, Naručitelj može zahtijevati od gospodarskog subjekta da u primjerenom roku, ne kraćem od pet dana, dostavi sve ili dio popratnih doku</w:t>
      </w:r>
      <w:r w:rsidR="00D94A38">
        <w:rPr>
          <w:rFonts w:ascii="Titillium" w:hAnsi="Titillium"/>
          <w:sz w:val="20"/>
          <w:szCs w:val="20"/>
        </w:rPr>
        <w:t>me</w:t>
      </w:r>
      <w:r w:rsidR="002D5D56">
        <w:rPr>
          <w:rFonts w:ascii="Titillium" w:hAnsi="Titillium"/>
          <w:sz w:val="20"/>
          <w:szCs w:val="20"/>
        </w:rPr>
        <w:t>nata ili dokaza. Naručitelj će</w:t>
      </w:r>
      <w:r w:rsidRPr="006F4CB2">
        <w:rPr>
          <w:rFonts w:ascii="Titillium" w:hAnsi="Titillium"/>
          <w:sz w:val="20"/>
          <w:szCs w:val="20"/>
        </w:rPr>
        <w:t xml:space="preserve"> prije donošenja odluke</w:t>
      </w:r>
      <w:r w:rsidR="00D94A38">
        <w:rPr>
          <w:rFonts w:ascii="Titillium" w:hAnsi="Titillium"/>
          <w:sz w:val="20"/>
          <w:szCs w:val="20"/>
        </w:rPr>
        <w:t xml:space="preserve"> o odabiru</w:t>
      </w:r>
      <w:r w:rsidRPr="006F4CB2">
        <w:rPr>
          <w:rFonts w:ascii="Titillium" w:hAnsi="Titillium"/>
          <w:sz w:val="20"/>
          <w:szCs w:val="20"/>
        </w:rPr>
        <w:t xml:space="preserve"> od ponuditelja koji je podnio ekonomski najpovoljniju ponudu zatražiti da u primjerenom roku, ne kraćem od 5 (pet) dana dostavi sljedeće ažurirane popratne dokumente kojima dokazuje da ne postoje obvezne osnove za isključenje iz točke 3.1. ove Dokumentacije o nabavi. </w:t>
      </w:r>
    </w:p>
    <w:p w14:paraId="31DC810C" w14:textId="77777777" w:rsidR="006F4CB2" w:rsidRPr="006F4CB2" w:rsidRDefault="006F4CB2" w:rsidP="006F4CB2">
      <w:pPr>
        <w:pStyle w:val="NoSpacing"/>
        <w:jc w:val="both"/>
        <w:rPr>
          <w:rFonts w:ascii="Titillium" w:hAnsi="Titillium"/>
          <w:sz w:val="20"/>
          <w:szCs w:val="20"/>
        </w:rPr>
      </w:pPr>
    </w:p>
    <w:p w14:paraId="734F6EAA" w14:textId="77777777" w:rsidR="006F4CB2" w:rsidRPr="006F4CB2" w:rsidRDefault="006F4CB2" w:rsidP="006F4CB2">
      <w:pPr>
        <w:pStyle w:val="NoSpacing"/>
        <w:jc w:val="both"/>
        <w:rPr>
          <w:rFonts w:ascii="Titillium" w:hAnsi="Titillium"/>
          <w:b/>
          <w:sz w:val="20"/>
          <w:szCs w:val="20"/>
        </w:rPr>
      </w:pPr>
      <w:r w:rsidRPr="006F4CB2">
        <w:rPr>
          <w:rFonts w:ascii="Titillium" w:hAnsi="Titillium"/>
          <w:b/>
          <w:sz w:val="20"/>
          <w:szCs w:val="20"/>
        </w:rPr>
        <w:t xml:space="preserve">Naručitelj će prihvatiti sljedeće kao dovoljan dokaz da ne postoje obvezne osnove za isključenje iz točke 3.1. ove Dokumentacije o nabavi: </w:t>
      </w:r>
    </w:p>
    <w:p w14:paraId="495570A2" w14:textId="77777777" w:rsidR="006F4CB2" w:rsidRPr="006F4CB2" w:rsidRDefault="006F4CB2" w:rsidP="00F77A9D">
      <w:pPr>
        <w:pStyle w:val="NoSpacing"/>
        <w:numPr>
          <w:ilvl w:val="0"/>
          <w:numId w:val="13"/>
        </w:numPr>
        <w:jc w:val="both"/>
        <w:rPr>
          <w:rFonts w:ascii="Titillium" w:hAnsi="Titillium"/>
          <w:sz w:val="20"/>
          <w:szCs w:val="20"/>
        </w:rPr>
      </w:pPr>
      <w:r w:rsidRPr="006F4CB2">
        <w:rPr>
          <w:rFonts w:ascii="Titillium" w:hAnsi="Titillium"/>
          <w:sz w:val="20"/>
          <w:szCs w:val="20"/>
        </w:rPr>
        <w:t xml:space="preserve">izvadak iz kaznene evidencije ili drugog odgovarajućeg registra ili, ako to nije moguće, jednakovrijedni dokument nadležne sudske ili upravne vlasti u državi poslovnog </w:t>
      </w:r>
      <w:proofErr w:type="spellStart"/>
      <w:r w:rsidRPr="006F4CB2">
        <w:rPr>
          <w:rFonts w:ascii="Titillium" w:hAnsi="Titillium"/>
          <w:sz w:val="20"/>
          <w:szCs w:val="20"/>
        </w:rPr>
        <w:t>nastana</w:t>
      </w:r>
      <w:proofErr w:type="spellEnd"/>
      <w:r w:rsidRPr="006F4CB2">
        <w:rPr>
          <w:rFonts w:ascii="Titillium" w:hAnsi="Titillium"/>
          <w:sz w:val="20"/>
          <w:szCs w:val="20"/>
        </w:rPr>
        <w:t xml:space="preserve"> gospodarskog subjekta, odnosno državi čiji je osoba državljanin, </w:t>
      </w:r>
    </w:p>
    <w:p w14:paraId="6DCEE0DF" w14:textId="77777777" w:rsidR="006F4CB2" w:rsidRPr="006F4CB2" w:rsidRDefault="006F4CB2" w:rsidP="00F77A9D">
      <w:pPr>
        <w:pStyle w:val="NoSpacing"/>
        <w:numPr>
          <w:ilvl w:val="0"/>
          <w:numId w:val="13"/>
        </w:numPr>
        <w:jc w:val="both"/>
        <w:rPr>
          <w:rFonts w:ascii="Titillium" w:hAnsi="Titillium"/>
          <w:sz w:val="20"/>
          <w:szCs w:val="20"/>
        </w:rPr>
      </w:pPr>
      <w:r w:rsidRPr="006F4CB2">
        <w:rPr>
          <w:rFonts w:ascii="Titillium" w:hAnsi="Titillium"/>
          <w:sz w:val="20"/>
          <w:szCs w:val="20"/>
        </w:rPr>
        <w:t xml:space="preserve">ako se u državi poslovnog </w:t>
      </w:r>
      <w:proofErr w:type="spellStart"/>
      <w:r w:rsidRPr="006F4CB2">
        <w:rPr>
          <w:rFonts w:ascii="Titillium" w:hAnsi="Titillium"/>
          <w:sz w:val="20"/>
          <w:szCs w:val="20"/>
        </w:rPr>
        <w:t>nastana</w:t>
      </w:r>
      <w:proofErr w:type="spellEnd"/>
      <w:r w:rsidRPr="006F4CB2">
        <w:rPr>
          <w:rFonts w:ascii="Titillium" w:hAnsi="Titillium"/>
          <w:sz w:val="20"/>
          <w:szCs w:val="20"/>
        </w:rPr>
        <w:t xml:space="preserve"> ponuditelja, odnosno državi čiji je osoba državljanin, ne izdaju gore navedeni dokumenti ili ako ne obuhvaćaju sve okolnosti obuhvaćene točkom 3.1. ove Dokumentacije o nabavi,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6F4CB2">
        <w:rPr>
          <w:rFonts w:ascii="Titillium" w:hAnsi="Titillium"/>
          <w:sz w:val="20"/>
          <w:szCs w:val="20"/>
        </w:rPr>
        <w:t>nastana</w:t>
      </w:r>
      <w:proofErr w:type="spellEnd"/>
      <w:r w:rsidRPr="006F4CB2">
        <w:rPr>
          <w:rFonts w:ascii="Titillium" w:hAnsi="Titillium"/>
          <w:sz w:val="20"/>
          <w:szCs w:val="20"/>
        </w:rPr>
        <w:t xml:space="preserve"> ponuditelja, odnosno državi čiji je osoba državljanin. </w:t>
      </w:r>
    </w:p>
    <w:p w14:paraId="3495CC0A" w14:textId="77777777" w:rsidR="006F4CB2" w:rsidRPr="006F4CB2" w:rsidRDefault="006F4CB2" w:rsidP="006F4CB2">
      <w:pPr>
        <w:pStyle w:val="NoSpacing"/>
        <w:jc w:val="both"/>
        <w:rPr>
          <w:rFonts w:ascii="Titillium" w:hAnsi="Titillium"/>
          <w:sz w:val="20"/>
          <w:szCs w:val="20"/>
        </w:rPr>
      </w:pPr>
    </w:p>
    <w:p w14:paraId="71C16D60" w14:textId="77777777" w:rsidR="006F4CB2" w:rsidRPr="006F4CB2" w:rsidRDefault="006F4CB2" w:rsidP="006F4CB2">
      <w:pPr>
        <w:pStyle w:val="NoSpacing"/>
        <w:jc w:val="both"/>
        <w:rPr>
          <w:rFonts w:ascii="Titillium" w:hAnsi="Titillium"/>
          <w:b/>
          <w:sz w:val="20"/>
          <w:szCs w:val="20"/>
        </w:rPr>
      </w:pPr>
      <w:r w:rsidRPr="006F4CB2">
        <w:rPr>
          <w:rFonts w:ascii="Titillium" w:hAnsi="Titillium"/>
          <w:b/>
          <w:sz w:val="20"/>
          <w:szCs w:val="20"/>
        </w:rPr>
        <w:t>Sukladno članku  20. Stavku 10. Pravilnika,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w:t>
      </w:r>
      <w:r>
        <w:rPr>
          <w:rFonts w:ascii="Titillium" w:hAnsi="Titillium"/>
          <w:b/>
          <w:sz w:val="20"/>
          <w:szCs w:val="20"/>
        </w:rPr>
        <w:t xml:space="preserve"> nadzora gospodarskog subjekta.</w:t>
      </w:r>
    </w:p>
    <w:p w14:paraId="248E0299" w14:textId="77777777" w:rsidR="006F4CB2" w:rsidRPr="006F4CB2" w:rsidRDefault="006F4CB2" w:rsidP="006F4CB2">
      <w:pPr>
        <w:pStyle w:val="NoSpacing"/>
        <w:jc w:val="both"/>
        <w:rPr>
          <w:rFonts w:ascii="Titillium" w:hAnsi="Titillium"/>
          <w:b/>
          <w:sz w:val="20"/>
          <w:szCs w:val="20"/>
        </w:rPr>
      </w:pPr>
    </w:p>
    <w:p w14:paraId="770671D5" w14:textId="77777777" w:rsidR="006F4CB2" w:rsidRPr="006F4CB2" w:rsidRDefault="006F4CB2" w:rsidP="00F77A9D">
      <w:pPr>
        <w:pStyle w:val="NoSpacing"/>
        <w:numPr>
          <w:ilvl w:val="1"/>
          <w:numId w:val="16"/>
        </w:numPr>
        <w:jc w:val="both"/>
        <w:rPr>
          <w:rFonts w:ascii="Titillium" w:hAnsi="Titillium"/>
          <w:b/>
          <w:sz w:val="20"/>
          <w:szCs w:val="20"/>
        </w:rPr>
      </w:pPr>
      <w:r w:rsidRPr="006F4CB2">
        <w:rPr>
          <w:rFonts w:ascii="Titillium" w:hAnsi="Titillium"/>
          <w:b/>
          <w:sz w:val="20"/>
          <w:szCs w:val="20"/>
        </w:rPr>
        <w:t xml:space="preserve"> Osnove za isključenje gospodarskog subjekta sukladno čl. 252. Zakona o javnoj nabavi </w:t>
      </w:r>
    </w:p>
    <w:p w14:paraId="4D49F8CE" w14:textId="77777777" w:rsidR="006F4CB2" w:rsidRPr="006F4CB2" w:rsidRDefault="006F4CB2" w:rsidP="006F4CB2">
      <w:pPr>
        <w:pStyle w:val="NoSpacing"/>
        <w:jc w:val="both"/>
        <w:rPr>
          <w:rFonts w:ascii="Titillium" w:hAnsi="Titillium"/>
          <w:b/>
          <w:sz w:val="20"/>
          <w:szCs w:val="20"/>
        </w:rPr>
      </w:pPr>
    </w:p>
    <w:p w14:paraId="29DADD90"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 xml:space="preserve">Sukladno odredbi članka 252. ZJN 2016 Naručitelj obvezan je isključiti gospodarskog subjekta iz postupka javne nabave ako utvrdi da gospodarski subjekt nije ispunio obveze plaćanja dospjelih poreznih obveza i obveza za mirovinsko i zdravstveno osiguranje: </w:t>
      </w:r>
    </w:p>
    <w:p w14:paraId="4C72B846" w14:textId="77777777" w:rsidR="006F4CB2" w:rsidRPr="006F4CB2" w:rsidRDefault="006F4CB2" w:rsidP="00F77A9D">
      <w:pPr>
        <w:pStyle w:val="NoSpacing"/>
        <w:numPr>
          <w:ilvl w:val="0"/>
          <w:numId w:val="14"/>
        </w:numPr>
        <w:jc w:val="both"/>
        <w:rPr>
          <w:rFonts w:ascii="Titillium" w:hAnsi="Titillium"/>
          <w:sz w:val="20"/>
          <w:szCs w:val="20"/>
        </w:rPr>
      </w:pPr>
      <w:r w:rsidRPr="006F4CB2">
        <w:rPr>
          <w:rFonts w:ascii="Titillium" w:hAnsi="Titillium"/>
          <w:sz w:val="20"/>
          <w:szCs w:val="20"/>
        </w:rPr>
        <w:t xml:space="preserve">u Republici Hrvatskoj, ako gospodarski subjekt ima poslovni </w:t>
      </w:r>
      <w:proofErr w:type="spellStart"/>
      <w:r w:rsidRPr="006F4CB2">
        <w:rPr>
          <w:rFonts w:ascii="Titillium" w:hAnsi="Titillium"/>
          <w:sz w:val="20"/>
          <w:szCs w:val="20"/>
        </w:rPr>
        <w:t>nastan</w:t>
      </w:r>
      <w:proofErr w:type="spellEnd"/>
      <w:r w:rsidRPr="006F4CB2">
        <w:rPr>
          <w:rFonts w:ascii="Titillium" w:hAnsi="Titillium"/>
          <w:sz w:val="20"/>
          <w:szCs w:val="20"/>
        </w:rPr>
        <w:t xml:space="preserve"> u Republici Hrvatskoj, ili</w:t>
      </w:r>
    </w:p>
    <w:p w14:paraId="681442E6" w14:textId="77777777" w:rsidR="006F4CB2" w:rsidRPr="006F4CB2" w:rsidRDefault="006F4CB2" w:rsidP="00F77A9D">
      <w:pPr>
        <w:pStyle w:val="NoSpacing"/>
        <w:numPr>
          <w:ilvl w:val="0"/>
          <w:numId w:val="14"/>
        </w:numPr>
        <w:jc w:val="both"/>
        <w:rPr>
          <w:rFonts w:ascii="Titillium" w:hAnsi="Titillium"/>
          <w:sz w:val="20"/>
          <w:szCs w:val="20"/>
        </w:rPr>
      </w:pPr>
      <w:r w:rsidRPr="006F4CB2">
        <w:rPr>
          <w:rFonts w:ascii="Titillium" w:hAnsi="Titillium"/>
          <w:sz w:val="20"/>
          <w:szCs w:val="20"/>
        </w:rPr>
        <w:t xml:space="preserve">u Republici Hrvatskoj ili u državi poslovnog </w:t>
      </w:r>
      <w:proofErr w:type="spellStart"/>
      <w:r w:rsidRPr="006F4CB2">
        <w:rPr>
          <w:rFonts w:ascii="Titillium" w:hAnsi="Titillium"/>
          <w:sz w:val="20"/>
          <w:szCs w:val="20"/>
        </w:rPr>
        <w:t>nastana</w:t>
      </w:r>
      <w:proofErr w:type="spellEnd"/>
      <w:r w:rsidRPr="006F4CB2">
        <w:rPr>
          <w:rFonts w:ascii="Titillium" w:hAnsi="Titillium"/>
          <w:sz w:val="20"/>
          <w:szCs w:val="20"/>
        </w:rPr>
        <w:t xml:space="preserve"> gospodarskog subjekta, ako gospodarski subjekt nema poslovni </w:t>
      </w:r>
      <w:proofErr w:type="spellStart"/>
      <w:r w:rsidRPr="006F4CB2">
        <w:rPr>
          <w:rFonts w:ascii="Titillium" w:hAnsi="Titillium"/>
          <w:sz w:val="20"/>
          <w:szCs w:val="20"/>
        </w:rPr>
        <w:t>nastan</w:t>
      </w:r>
      <w:proofErr w:type="spellEnd"/>
      <w:r w:rsidRPr="006F4CB2">
        <w:rPr>
          <w:rFonts w:ascii="Titillium" w:hAnsi="Titillium"/>
          <w:sz w:val="20"/>
          <w:szCs w:val="20"/>
        </w:rPr>
        <w:t xml:space="preserve"> u Republici Hrvatskoj.</w:t>
      </w:r>
    </w:p>
    <w:p w14:paraId="6C5759DA" w14:textId="77777777" w:rsidR="006F4CB2" w:rsidRPr="006F4CB2" w:rsidRDefault="006F4CB2" w:rsidP="006F4CB2">
      <w:pPr>
        <w:pStyle w:val="NoSpacing"/>
        <w:jc w:val="both"/>
        <w:rPr>
          <w:rFonts w:ascii="Titillium" w:hAnsi="Titillium"/>
          <w:sz w:val="20"/>
          <w:szCs w:val="20"/>
        </w:rPr>
      </w:pPr>
    </w:p>
    <w:p w14:paraId="6E1EFA67"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Iznimno od članka 252. st. 1. Zakona, javni naručitelj neće isključiti gospodarskog subjekta iz postupka javne nabave ako mu sukladno posebnom propisu plaćanje obveza nije dopušteno ili mu je odobrena odgoda plaćanja.</w:t>
      </w:r>
    </w:p>
    <w:p w14:paraId="35792526" w14:textId="77777777" w:rsidR="006F4CB2" w:rsidRPr="006F4CB2" w:rsidRDefault="006F4CB2" w:rsidP="006F4CB2">
      <w:pPr>
        <w:pStyle w:val="NoSpacing"/>
        <w:jc w:val="both"/>
        <w:rPr>
          <w:rFonts w:ascii="Titillium" w:hAnsi="Titillium"/>
          <w:sz w:val="20"/>
          <w:szCs w:val="20"/>
        </w:rPr>
      </w:pPr>
    </w:p>
    <w:p w14:paraId="0392F3A8" w14:textId="77777777"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 xml:space="preserve">Za potrebe utvrđivanja navedenog, gospodarski subjekt u ponudi dostavlja: </w:t>
      </w:r>
    </w:p>
    <w:p w14:paraId="379A2722" w14:textId="77777777" w:rsidR="006F4CB2" w:rsidRPr="006F4CB2" w:rsidRDefault="006F4CB2" w:rsidP="00F77A9D">
      <w:pPr>
        <w:pStyle w:val="NoSpacing"/>
        <w:numPr>
          <w:ilvl w:val="0"/>
          <w:numId w:val="12"/>
        </w:numPr>
        <w:jc w:val="both"/>
        <w:rPr>
          <w:rFonts w:ascii="Titillium" w:hAnsi="Titillium"/>
          <w:sz w:val="20"/>
          <w:szCs w:val="20"/>
        </w:rPr>
      </w:pPr>
      <w:r w:rsidRPr="006F4CB2">
        <w:rPr>
          <w:rFonts w:ascii="Titillium" w:hAnsi="Titillium"/>
          <w:b/>
          <w:bCs/>
          <w:sz w:val="20"/>
          <w:szCs w:val="20"/>
        </w:rPr>
        <w:t xml:space="preserve">ispunjeni ESPD obrazac: Dio III. Osnove za isključenje, Odjeljak B: Osnove povezane s plaćanjem poreza ili doprinosa za socijalno osiguranje, za sve gospodarske subjekte u ponudi. </w:t>
      </w:r>
    </w:p>
    <w:p w14:paraId="2FDC188C" w14:textId="77777777" w:rsidR="006F4CB2" w:rsidRPr="006F4CB2" w:rsidRDefault="006F4CB2" w:rsidP="006F4CB2">
      <w:pPr>
        <w:pStyle w:val="NoSpacing"/>
        <w:jc w:val="both"/>
        <w:rPr>
          <w:rFonts w:ascii="Titillium" w:hAnsi="Titillium"/>
          <w:sz w:val="20"/>
          <w:szCs w:val="20"/>
        </w:rPr>
      </w:pPr>
    </w:p>
    <w:p w14:paraId="29A67A7E" w14:textId="6BAA0EDB" w:rsidR="006F4CB2" w:rsidRPr="006F4CB2" w:rsidRDefault="006F4CB2" w:rsidP="006F4CB2">
      <w:pPr>
        <w:pStyle w:val="NoSpacing"/>
        <w:jc w:val="both"/>
        <w:rPr>
          <w:rFonts w:ascii="Titillium" w:hAnsi="Titillium"/>
          <w:sz w:val="20"/>
          <w:szCs w:val="20"/>
        </w:rPr>
      </w:pPr>
      <w:r w:rsidRPr="006F4CB2">
        <w:rPr>
          <w:rFonts w:ascii="Titillium" w:hAnsi="Titillium"/>
          <w:sz w:val="20"/>
          <w:szCs w:val="20"/>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gore navedenom, Naručitelj može zahtijevati od gospodarskog subjekta da u primjerenom roku, ne kraćem od 5 dana, dostavi sve ili dio popratnih dok</w:t>
      </w:r>
      <w:r w:rsidR="00D94A38">
        <w:rPr>
          <w:rFonts w:ascii="Titillium" w:hAnsi="Titillium"/>
          <w:sz w:val="20"/>
          <w:szCs w:val="20"/>
        </w:rPr>
        <w:t>um</w:t>
      </w:r>
      <w:r w:rsidR="002D5D56">
        <w:rPr>
          <w:rFonts w:ascii="Titillium" w:hAnsi="Titillium"/>
          <w:sz w:val="20"/>
          <w:szCs w:val="20"/>
        </w:rPr>
        <w:t>enta ili dokaza. Naručitelj će</w:t>
      </w:r>
      <w:r w:rsidRPr="006F4CB2">
        <w:rPr>
          <w:rFonts w:ascii="Titillium" w:hAnsi="Titillium"/>
          <w:sz w:val="20"/>
          <w:szCs w:val="20"/>
        </w:rPr>
        <w:t xml:space="preserve"> prije donošenja odluke</w:t>
      </w:r>
      <w:r w:rsidR="00D94A38">
        <w:rPr>
          <w:rFonts w:ascii="Titillium" w:hAnsi="Titillium"/>
          <w:sz w:val="20"/>
          <w:szCs w:val="20"/>
        </w:rPr>
        <w:t xml:space="preserve"> o odabiru</w:t>
      </w:r>
      <w:r w:rsidRPr="006F4CB2">
        <w:rPr>
          <w:rFonts w:ascii="Titillium" w:hAnsi="Titillium"/>
          <w:sz w:val="20"/>
          <w:szCs w:val="20"/>
        </w:rPr>
        <w:t xml:space="preserve"> od ponuditelja koji je podnio ekonomski najpovoljniju ponudu zatražiti da u primjerenom roku, ne kraćem od 5 (pet) dana dostavi sljedeće ažurirane popratne dokumente kojima dokazuje da ne postoje obvezne osnove za isključenje iz točke 3.2. ove Dokumentacije o nabavi. </w:t>
      </w:r>
    </w:p>
    <w:p w14:paraId="7E72B1F8" w14:textId="67CB5EAC" w:rsidR="00C46229" w:rsidRDefault="00C46229" w:rsidP="006F4CB2">
      <w:pPr>
        <w:pStyle w:val="NoSpacing"/>
        <w:jc w:val="both"/>
        <w:rPr>
          <w:rFonts w:ascii="Titillium" w:hAnsi="Titillium"/>
          <w:sz w:val="20"/>
          <w:szCs w:val="20"/>
        </w:rPr>
      </w:pPr>
    </w:p>
    <w:p w14:paraId="112282EA" w14:textId="77777777" w:rsidR="006F4CB2" w:rsidRPr="006F4CB2" w:rsidRDefault="006F4CB2" w:rsidP="006F4CB2">
      <w:pPr>
        <w:pStyle w:val="NoSpacing"/>
        <w:jc w:val="both"/>
        <w:rPr>
          <w:rFonts w:ascii="Titillium" w:hAnsi="Titillium"/>
          <w:b/>
          <w:sz w:val="20"/>
          <w:szCs w:val="20"/>
        </w:rPr>
      </w:pPr>
      <w:r w:rsidRPr="006F4CB2">
        <w:rPr>
          <w:rFonts w:ascii="Titillium" w:hAnsi="Titillium"/>
          <w:b/>
          <w:sz w:val="20"/>
          <w:szCs w:val="20"/>
        </w:rPr>
        <w:t xml:space="preserve">Naručitelj će prihvatiti sljedeće kao dovoljan dokaz da ne postoje osnove za isključenje iz ove točke 3.2.: </w:t>
      </w:r>
    </w:p>
    <w:p w14:paraId="7404FC62" w14:textId="77777777" w:rsidR="006F4CB2" w:rsidRPr="006F4CB2" w:rsidRDefault="006F4CB2" w:rsidP="00F77A9D">
      <w:pPr>
        <w:pStyle w:val="NoSpacing"/>
        <w:numPr>
          <w:ilvl w:val="0"/>
          <w:numId w:val="15"/>
        </w:numPr>
        <w:jc w:val="both"/>
        <w:rPr>
          <w:rFonts w:ascii="Titillium" w:hAnsi="Titillium"/>
          <w:sz w:val="20"/>
          <w:szCs w:val="20"/>
        </w:rPr>
      </w:pPr>
      <w:r w:rsidRPr="006F4CB2">
        <w:rPr>
          <w:rFonts w:ascii="Titillium" w:hAnsi="Titillium"/>
          <w:sz w:val="20"/>
          <w:szCs w:val="20"/>
        </w:rPr>
        <w:t xml:space="preserve">potvrdu porezne uprave ili drugog nadležnog tijela u državi poslovnog </w:t>
      </w:r>
      <w:proofErr w:type="spellStart"/>
      <w:r w:rsidRPr="006F4CB2">
        <w:rPr>
          <w:rFonts w:ascii="Titillium" w:hAnsi="Titillium"/>
          <w:sz w:val="20"/>
          <w:szCs w:val="20"/>
        </w:rPr>
        <w:t>nastana</w:t>
      </w:r>
      <w:proofErr w:type="spellEnd"/>
      <w:r w:rsidRPr="006F4CB2">
        <w:rPr>
          <w:rFonts w:ascii="Titillium" w:hAnsi="Titillium"/>
          <w:sz w:val="20"/>
          <w:szCs w:val="20"/>
        </w:rPr>
        <w:t xml:space="preserve"> gospodarskog subjekta kojom se dokazuje da ne postoje navedene osnove za isključenje,</w:t>
      </w:r>
    </w:p>
    <w:p w14:paraId="7E533056" w14:textId="77777777" w:rsidR="006F4CB2" w:rsidRPr="006F4CB2" w:rsidRDefault="006F4CB2" w:rsidP="00F77A9D">
      <w:pPr>
        <w:pStyle w:val="NoSpacing"/>
        <w:numPr>
          <w:ilvl w:val="0"/>
          <w:numId w:val="15"/>
        </w:numPr>
        <w:jc w:val="both"/>
        <w:rPr>
          <w:rFonts w:ascii="Titillium" w:hAnsi="Titillium"/>
          <w:sz w:val="20"/>
          <w:szCs w:val="20"/>
        </w:rPr>
      </w:pPr>
      <w:r w:rsidRPr="006F4CB2">
        <w:rPr>
          <w:rFonts w:ascii="Titillium" w:hAnsi="Titillium"/>
          <w:sz w:val="20"/>
          <w:szCs w:val="20"/>
        </w:rPr>
        <w:t xml:space="preserve">ako se u državi poslovnog </w:t>
      </w:r>
      <w:proofErr w:type="spellStart"/>
      <w:r w:rsidRPr="006F4CB2">
        <w:rPr>
          <w:rFonts w:ascii="Titillium" w:hAnsi="Titillium"/>
          <w:sz w:val="20"/>
          <w:szCs w:val="20"/>
        </w:rPr>
        <w:t>nastana</w:t>
      </w:r>
      <w:proofErr w:type="spellEnd"/>
      <w:r w:rsidRPr="006F4CB2">
        <w:rPr>
          <w:rFonts w:ascii="Titillium" w:hAnsi="Titillium"/>
          <w:sz w:val="20"/>
          <w:szCs w:val="20"/>
        </w:rPr>
        <w:t xml:space="preserve"> gospodarskog subjekta ne izdaju takvi dokumenti ili ako ne obuhvaćaju sve okolnosti obuhvaćene točkom 3.2.,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6F4CB2">
        <w:rPr>
          <w:rFonts w:ascii="Titillium" w:hAnsi="Titillium"/>
          <w:sz w:val="20"/>
          <w:szCs w:val="20"/>
        </w:rPr>
        <w:t>nastana</w:t>
      </w:r>
      <w:proofErr w:type="spellEnd"/>
      <w:r w:rsidRPr="006F4CB2">
        <w:rPr>
          <w:rFonts w:ascii="Titillium" w:hAnsi="Titillium"/>
          <w:sz w:val="20"/>
          <w:szCs w:val="20"/>
        </w:rPr>
        <w:t xml:space="preserve"> gospodarskog subjekta, odnosno državi čiji je osoba državljanin.</w:t>
      </w:r>
    </w:p>
    <w:p w14:paraId="58725371" w14:textId="77777777" w:rsidR="006F4CB2" w:rsidRPr="006F4CB2" w:rsidRDefault="006F4CB2" w:rsidP="006F4CB2">
      <w:pPr>
        <w:pStyle w:val="NoSpacing"/>
        <w:jc w:val="both"/>
        <w:rPr>
          <w:rFonts w:ascii="Titillium" w:hAnsi="Titillium"/>
          <w:sz w:val="20"/>
          <w:szCs w:val="20"/>
        </w:rPr>
      </w:pPr>
    </w:p>
    <w:p w14:paraId="34F80E29" w14:textId="77777777" w:rsidR="006F4CB2" w:rsidRDefault="006F4CB2" w:rsidP="006F4CB2">
      <w:pPr>
        <w:pStyle w:val="NoSpacing"/>
        <w:jc w:val="both"/>
        <w:rPr>
          <w:rFonts w:ascii="Titillium" w:hAnsi="Titillium"/>
          <w:sz w:val="20"/>
          <w:szCs w:val="20"/>
        </w:rPr>
      </w:pPr>
      <w:r w:rsidRPr="006F4CB2">
        <w:rPr>
          <w:rFonts w:ascii="Titillium" w:hAnsi="Titillium"/>
          <w:sz w:val="20"/>
          <w:szCs w:val="20"/>
        </w:rPr>
        <w:t xml:space="preserve">Navedene odredbe ove točke 3.2. se odnose i na </w:t>
      </w:r>
      <w:proofErr w:type="spellStart"/>
      <w:r w:rsidRPr="006F4CB2">
        <w:rPr>
          <w:rFonts w:ascii="Titillium" w:hAnsi="Titillium"/>
          <w:b/>
          <w:sz w:val="20"/>
          <w:szCs w:val="20"/>
        </w:rPr>
        <w:t>podugovaratelje</w:t>
      </w:r>
      <w:proofErr w:type="spellEnd"/>
      <w:r w:rsidRPr="006F4CB2">
        <w:rPr>
          <w:rFonts w:ascii="Titillium" w:hAnsi="Titillium"/>
          <w:sz w:val="20"/>
          <w:szCs w:val="20"/>
        </w:rPr>
        <w:t xml:space="preserve">. Ako Naručitelj utvrdi da postoji osnova za isključenje </w:t>
      </w:r>
      <w:proofErr w:type="spellStart"/>
      <w:r w:rsidRPr="006F4CB2">
        <w:rPr>
          <w:rFonts w:ascii="Titillium" w:hAnsi="Titillium"/>
          <w:sz w:val="20"/>
          <w:szCs w:val="20"/>
        </w:rPr>
        <w:t>podugovaratelja</w:t>
      </w:r>
      <w:proofErr w:type="spellEnd"/>
      <w:r w:rsidRPr="006F4CB2">
        <w:rPr>
          <w:rFonts w:ascii="Titillium" w:hAnsi="Titillium"/>
          <w:sz w:val="20"/>
          <w:szCs w:val="20"/>
        </w:rPr>
        <w:t xml:space="preserve">, zatražiti će od gospodarskog subjekta zamjenu tog </w:t>
      </w:r>
      <w:proofErr w:type="spellStart"/>
      <w:r w:rsidRPr="006F4CB2">
        <w:rPr>
          <w:rFonts w:ascii="Titillium" w:hAnsi="Titillium"/>
          <w:sz w:val="20"/>
          <w:szCs w:val="20"/>
        </w:rPr>
        <w:t>podugovaratelja</w:t>
      </w:r>
      <w:proofErr w:type="spellEnd"/>
      <w:r w:rsidRPr="006F4CB2">
        <w:rPr>
          <w:rFonts w:ascii="Titillium" w:hAnsi="Titillium"/>
          <w:sz w:val="20"/>
          <w:szCs w:val="20"/>
        </w:rPr>
        <w:t xml:space="preserve"> u primjernom roku, ne kraćem od 5 dana.</w:t>
      </w:r>
    </w:p>
    <w:p w14:paraId="2B441B41" w14:textId="77777777" w:rsidR="006F4CB2" w:rsidRDefault="006F4CB2" w:rsidP="006F4CB2">
      <w:pPr>
        <w:pStyle w:val="NoSpacing"/>
        <w:jc w:val="both"/>
        <w:rPr>
          <w:rFonts w:ascii="Titillium" w:hAnsi="Titillium"/>
          <w:sz w:val="20"/>
          <w:szCs w:val="20"/>
        </w:rPr>
      </w:pPr>
    </w:p>
    <w:p w14:paraId="6ED656B7" w14:textId="77777777" w:rsidR="006F4CB2" w:rsidRDefault="006F4CB2" w:rsidP="006F4CB2">
      <w:pPr>
        <w:pStyle w:val="NoSpacing"/>
        <w:jc w:val="both"/>
        <w:rPr>
          <w:rFonts w:ascii="Titillium" w:hAnsi="Titillium"/>
          <w:sz w:val="20"/>
          <w:szCs w:val="20"/>
        </w:rPr>
      </w:pPr>
    </w:p>
    <w:p w14:paraId="2FC99CF9" w14:textId="77777777" w:rsidR="006F4CB2" w:rsidRDefault="006F4CB2" w:rsidP="006F4CB2">
      <w:pPr>
        <w:pStyle w:val="NoSpacing"/>
        <w:ind w:left="360"/>
        <w:jc w:val="both"/>
        <w:rPr>
          <w:rFonts w:ascii="Titillium" w:hAnsi="Titillium"/>
          <w:b/>
        </w:rPr>
      </w:pPr>
      <w:r w:rsidRPr="006F4CB2">
        <w:rPr>
          <w:rFonts w:ascii="Titillium" w:hAnsi="Titillium"/>
          <w:b/>
        </w:rPr>
        <w:t xml:space="preserve">4. </w:t>
      </w:r>
      <w:r w:rsidRPr="006F4CB2">
        <w:rPr>
          <w:rFonts w:ascii="Titillium" w:hAnsi="Titillium"/>
          <w:b/>
        </w:rPr>
        <w:tab/>
        <w:t>KRITERIJ ZA ODABIR GOSPODARSKOG SUBJEKTA (UVIJETI SPOSOBNOSTI)</w:t>
      </w:r>
    </w:p>
    <w:p w14:paraId="6497C4E9" w14:textId="77777777" w:rsidR="005F21B3" w:rsidRPr="006F4CB2" w:rsidRDefault="005F21B3" w:rsidP="006F4CB2">
      <w:pPr>
        <w:pStyle w:val="NoSpacing"/>
        <w:ind w:left="360"/>
        <w:jc w:val="both"/>
        <w:rPr>
          <w:rFonts w:ascii="Titillium" w:hAnsi="Titillium"/>
          <w:b/>
        </w:rPr>
      </w:pPr>
    </w:p>
    <w:p w14:paraId="2D6A1149" w14:textId="77777777" w:rsidR="006F4CB2" w:rsidRPr="005F21B3" w:rsidRDefault="005F21B3" w:rsidP="00B942CA">
      <w:pPr>
        <w:pStyle w:val="NoSpacing"/>
        <w:jc w:val="both"/>
        <w:rPr>
          <w:rFonts w:ascii="Titillium" w:hAnsi="Titillium"/>
          <w:b/>
          <w:sz w:val="20"/>
          <w:szCs w:val="20"/>
        </w:rPr>
      </w:pPr>
      <w:r w:rsidRPr="005F21B3">
        <w:rPr>
          <w:rFonts w:ascii="Titillium" w:hAnsi="Titillium"/>
          <w:b/>
          <w:sz w:val="20"/>
          <w:szCs w:val="20"/>
        </w:rPr>
        <w:t xml:space="preserve">4.1. </w:t>
      </w:r>
      <w:r w:rsidRPr="005F21B3">
        <w:rPr>
          <w:rFonts w:ascii="Titillium" w:hAnsi="Titillium"/>
          <w:b/>
          <w:sz w:val="20"/>
          <w:szCs w:val="20"/>
        </w:rPr>
        <w:tab/>
        <w:t>Sposobnost za obavljanje profesionalne djelatnosti</w:t>
      </w:r>
    </w:p>
    <w:p w14:paraId="41E5CD40" w14:textId="42423344" w:rsidR="0089060C" w:rsidRPr="005F21B3" w:rsidRDefault="005F21B3" w:rsidP="00612BF5">
      <w:pPr>
        <w:pStyle w:val="NoSpacing"/>
        <w:jc w:val="both"/>
        <w:rPr>
          <w:rFonts w:ascii="Titillium" w:hAnsi="Titillium"/>
          <w:sz w:val="20"/>
          <w:szCs w:val="20"/>
        </w:rPr>
      </w:pPr>
      <w:r w:rsidRPr="005F21B3">
        <w:rPr>
          <w:rFonts w:ascii="Titillium" w:hAnsi="Titillium"/>
          <w:sz w:val="20"/>
          <w:szCs w:val="20"/>
        </w:rPr>
        <w:t xml:space="preserve">Gospodarski subjekt mora dokazati upis u sudski, obrtni, strukovni ili drugi odgovarajući registar u državi njegova poslovnog </w:t>
      </w:r>
      <w:proofErr w:type="spellStart"/>
      <w:r w:rsidRPr="005F21B3">
        <w:rPr>
          <w:rFonts w:ascii="Titillium" w:hAnsi="Titillium"/>
          <w:sz w:val="20"/>
          <w:szCs w:val="20"/>
        </w:rPr>
        <w:t>nastana</w:t>
      </w:r>
      <w:proofErr w:type="spellEnd"/>
      <w:r w:rsidRPr="005F21B3">
        <w:rPr>
          <w:rFonts w:ascii="Titillium" w:hAnsi="Titillium"/>
          <w:sz w:val="20"/>
          <w:szCs w:val="20"/>
        </w:rPr>
        <w:t xml:space="preserve">. </w:t>
      </w:r>
    </w:p>
    <w:p w14:paraId="653FA923" w14:textId="2CCF0281" w:rsidR="005F21B3" w:rsidRPr="005F21B3" w:rsidRDefault="005F21B3" w:rsidP="005F21B3">
      <w:pPr>
        <w:pStyle w:val="NoSpacing"/>
        <w:rPr>
          <w:rFonts w:ascii="Titillium" w:hAnsi="Titillium"/>
          <w:sz w:val="20"/>
          <w:szCs w:val="20"/>
        </w:rPr>
      </w:pPr>
      <w:r w:rsidRPr="005F21B3">
        <w:rPr>
          <w:rFonts w:ascii="Titillium" w:hAnsi="Titillium"/>
          <w:sz w:val="20"/>
          <w:szCs w:val="20"/>
        </w:rPr>
        <w:t xml:space="preserve">Za potrebe utvrđivanja gore navedenog, gospodarski subjekt u ponudi dostavlja: </w:t>
      </w:r>
    </w:p>
    <w:p w14:paraId="56488712" w14:textId="0D23B736" w:rsidR="005F21B3" w:rsidRPr="005F21B3" w:rsidRDefault="005F21B3" w:rsidP="00F77A9D">
      <w:pPr>
        <w:pStyle w:val="NoSpacing"/>
        <w:numPr>
          <w:ilvl w:val="0"/>
          <w:numId w:val="12"/>
        </w:numPr>
        <w:jc w:val="both"/>
        <w:rPr>
          <w:rFonts w:ascii="Titillium" w:hAnsi="Titillium"/>
          <w:sz w:val="20"/>
          <w:szCs w:val="20"/>
        </w:rPr>
      </w:pPr>
      <w:r w:rsidRPr="005F21B3">
        <w:rPr>
          <w:rFonts w:ascii="Titillium" w:hAnsi="Titillium"/>
          <w:b/>
          <w:bCs/>
          <w:sz w:val="20"/>
          <w:szCs w:val="20"/>
        </w:rPr>
        <w:t>ispunjeni ESPD obrazac: Dio IV. Kriteriji za odabir, odjel</w:t>
      </w:r>
      <w:r w:rsidR="00794495">
        <w:rPr>
          <w:rFonts w:ascii="Titillium" w:hAnsi="Titillium"/>
          <w:b/>
          <w:bCs/>
          <w:sz w:val="20"/>
          <w:szCs w:val="20"/>
        </w:rPr>
        <w:t xml:space="preserve">jak A: Sposobnost za obavljanje </w:t>
      </w:r>
      <w:r w:rsidRPr="005F21B3">
        <w:rPr>
          <w:rFonts w:ascii="Titillium" w:hAnsi="Titillium"/>
          <w:b/>
          <w:bCs/>
          <w:sz w:val="20"/>
          <w:szCs w:val="20"/>
        </w:rPr>
        <w:t xml:space="preserve">profesionalne djelatnosti: točka 1. </w:t>
      </w:r>
    </w:p>
    <w:p w14:paraId="0CCE535C" w14:textId="77777777" w:rsidR="00FF0E48" w:rsidRDefault="00FF0E48" w:rsidP="00612BF5">
      <w:pPr>
        <w:pStyle w:val="NoSpacing"/>
        <w:jc w:val="both"/>
        <w:rPr>
          <w:rFonts w:ascii="Titillium" w:hAnsi="Titillium"/>
          <w:sz w:val="20"/>
          <w:szCs w:val="20"/>
        </w:rPr>
      </w:pPr>
    </w:p>
    <w:p w14:paraId="4E91C97D" w14:textId="12EED04E" w:rsidR="005F21B3" w:rsidRDefault="002841C8" w:rsidP="00FF0E48">
      <w:pPr>
        <w:pStyle w:val="NoSpacing"/>
        <w:jc w:val="both"/>
        <w:rPr>
          <w:rFonts w:ascii="Titillium" w:hAnsi="Titillium"/>
          <w:sz w:val="20"/>
          <w:szCs w:val="20"/>
        </w:rPr>
      </w:pPr>
      <w:r>
        <w:rPr>
          <w:rFonts w:ascii="Titillium" w:hAnsi="Titillium"/>
          <w:sz w:val="20"/>
          <w:szCs w:val="20"/>
        </w:rPr>
        <w:t>Naručitelj može</w:t>
      </w:r>
      <w:r w:rsidR="005F21B3" w:rsidRPr="005F21B3">
        <w:rPr>
          <w:rFonts w:ascii="Titillium" w:hAnsi="Titillium"/>
          <w:sz w:val="20"/>
          <w:szCs w:val="20"/>
        </w:rPr>
        <w:t xml:space="preserve"> prije donošenja odluke o odabiru od ponuditelja koji je dostavio ekonomski najpovoljniju ponudu zatražiti da u primjerenom roku, ne kraćem od 5 </w:t>
      </w:r>
      <w:r w:rsidR="000D61D4">
        <w:rPr>
          <w:rFonts w:ascii="Titillium" w:hAnsi="Titillium"/>
          <w:sz w:val="20"/>
          <w:szCs w:val="20"/>
        </w:rPr>
        <w:t xml:space="preserve">(pet) </w:t>
      </w:r>
      <w:r w:rsidR="005F21B3" w:rsidRPr="005F21B3">
        <w:rPr>
          <w:rFonts w:ascii="Titillium" w:hAnsi="Titillium"/>
          <w:sz w:val="20"/>
          <w:szCs w:val="20"/>
        </w:rPr>
        <w:t>dana, dostavi ažurirane popratne dokumente koj</w:t>
      </w:r>
      <w:r w:rsidR="00FF0E48">
        <w:rPr>
          <w:rFonts w:ascii="Titillium" w:hAnsi="Titillium"/>
          <w:sz w:val="20"/>
          <w:szCs w:val="20"/>
        </w:rPr>
        <w:t>im dokazuje uvjete sposobnosti.</w:t>
      </w:r>
    </w:p>
    <w:p w14:paraId="090A081D" w14:textId="77777777" w:rsidR="00BA2C7A" w:rsidRDefault="00BA2C7A" w:rsidP="00FF0E48">
      <w:pPr>
        <w:pStyle w:val="NoSpacing"/>
        <w:jc w:val="both"/>
        <w:rPr>
          <w:rFonts w:ascii="Titillium" w:hAnsi="Titillium"/>
          <w:sz w:val="20"/>
          <w:szCs w:val="20"/>
        </w:rPr>
      </w:pPr>
    </w:p>
    <w:p w14:paraId="49D79E93" w14:textId="77777777" w:rsidR="00BA2C7A" w:rsidRPr="00BA2C7A" w:rsidRDefault="00BA2C7A" w:rsidP="00F77A9D">
      <w:pPr>
        <w:pStyle w:val="ListParagraph"/>
        <w:numPr>
          <w:ilvl w:val="1"/>
          <w:numId w:val="25"/>
        </w:numPr>
        <w:spacing w:after="240"/>
        <w:ind w:left="0" w:firstLine="0"/>
        <w:jc w:val="both"/>
        <w:rPr>
          <w:rFonts w:ascii="Titillium" w:hAnsi="Titillium"/>
          <w:b/>
          <w:bCs/>
          <w:sz w:val="20"/>
          <w:szCs w:val="20"/>
        </w:rPr>
      </w:pPr>
      <w:r w:rsidRPr="00BA2C7A">
        <w:rPr>
          <w:rFonts w:ascii="Titillium" w:hAnsi="Titillium"/>
          <w:b/>
          <w:bCs/>
          <w:sz w:val="20"/>
          <w:szCs w:val="20"/>
        </w:rPr>
        <w:t>Tehnička i stručna sposobnost</w:t>
      </w:r>
    </w:p>
    <w:p w14:paraId="6FEB40F2" w14:textId="77777777" w:rsidR="00BA2C7A" w:rsidRPr="00F56E89" w:rsidRDefault="00BA2C7A" w:rsidP="00BA2C7A">
      <w:pPr>
        <w:pStyle w:val="Heading3"/>
        <w:keepLines w:val="0"/>
        <w:suppressAutoHyphens/>
        <w:spacing w:before="0" w:line="240" w:lineRule="auto"/>
        <w:ind w:left="426"/>
        <w:jc w:val="both"/>
        <w:rPr>
          <w:rFonts w:ascii="Calibri Light" w:hAnsi="Calibri Light"/>
          <w:b w:val="0"/>
          <w:i/>
          <w:color w:val="auto"/>
        </w:rPr>
      </w:pPr>
      <w:bookmarkStart w:id="8" w:name="_Toc504410297"/>
      <w:r w:rsidRPr="00F56E89">
        <w:rPr>
          <w:rFonts w:ascii="Calibri Light" w:hAnsi="Calibri Light"/>
          <w:color w:val="auto"/>
        </w:rPr>
        <w:t>Podaci o angažiranim tehničkim stručnjacima ili tehničkim tijelima, neovisno o tome pripadaju li izravno gospodarskom subjektu, a posebno onima odgovornima za kontrolu kvalitete</w:t>
      </w:r>
      <w:bookmarkEnd w:id="8"/>
    </w:p>
    <w:p w14:paraId="2F27720F" w14:textId="77777777" w:rsidR="00BA2C7A" w:rsidRPr="003F6359" w:rsidRDefault="00BA2C7A" w:rsidP="00BA2C7A">
      <w:pPr>
        <w:spacing w:after="0" w:line="240" w:lineRule="auto"/>
        <w:rPr>
          <w:rFonts w:ascii="Calibri Light" w:hAnsi="Calibri Light"/>
        </w:rPr>
      </w:pPr>
    </w:p>
    <w:p w14:paraId="174F83E4" w14:textId="5EDC28DF" w:rsidR="00BA2C7A" w:rsidRDefault="00BA2C7A" w:rsidP="00BA2C7A">
      <w:pPr>
        <w:spacing w:after="0" w:line="240" w:lineRule="auto"/>
        <w:rPr>
          <w:rFonts w:ascii="Calibri Light" w:hAnsi="Calibri Light"/>
        </w:rPr>
      </w:pPr>
      <w:r w:rsidRPr="003F6359">
        <w:rPr>
          <w:rFonts w:ascii="Calibri Light" w:hAnsi="Calibri Light"/>
        </w:rPr>
        <w:t>Sukladno čl</w:t>
      </w:r>
      <w:r>
        <w:rPr>
          <w:rFonts w:ascii="Calibri Light" w:hAnsi="Calibri Light"/>
        </w:rPr>
        <w:t xml:space="preserve">anku </w:t>
      </w:r>
      <w:r w:rsidRPr="003F6359">
        <w:rPr>
          <w:rFonts w:ascii="Calibri Light" w:hAnsi="Calibri Light"/>
        </w:rPr>
        <w:t>268.</w:t>
      </w:r>
      <w:r>
        <w:rPr>
          <w:rFonts w:ascii="Calibri Light" w:hAnsi="Calibri Light"/>
        </w:rPr>
        <w:t xml:space="preserve">  </w:t>
      </w:r>
      <w:r w:rsidRPr="003F6359">
        <w:rPr>
          <w:rFonts w:ascii="Calibri Light" w:hAnsi="Calibri Light"/>
        </w:rPr>
        <w:t>st</w:t>
      </w:r>
      <w:r>
        <w:rPr>
          <w:rFonts w:ascii="Calibri Light" w:hAnsi="Calibri Light"/>
        </w:rPr>
        <w:t xml:space="preserve">avku </w:t>
      </w:r>
      <w:r w:rsidRPr="003F6359">
        <w:rPr>
          <w:rFonts w:ascii="Calibri Light" w:hAnsi="Calibri Light"/>
        </w:rPr>
        <w:t>1.toč</w:t>
      </w:r>
      <w:r>
        <w:rPr>
          <w:rFonts w:ascii="Calibri Light" w:hAnsi="Calibri Light"/>
        </w:rPr>
        <w:t xml:space="preserve">ki </w:t>
      </w:r>
      <w:r w:rsidRPr="003F6359">
        <w:rPr>
          <w:rFonts w:ascii="Calibri Light" w:hAnsi="Calibri Light"/>
        </w:rPr>
        <w:t>4. ZJN 2016</w:t>
      </w:r>
      <w:r>
        <w:rPr>
          <w:rFonts w:ascii="Calibri Light" w:hAnsi="Calibri Light"/>
        </w:rPr>
        <w:t>,</w:t>
      </w:r>
      <w:r w:rsidRPr="003F6359">
        <w:rPr>
          <w:rFonts w:ascii="Calibri Light" w:hAnsi="Calibri Light"/>
        </w:rPr>
        <w:t xml:space="preserve"> gospodarski subjekti trebaju imati na raspolaganju za potrebe</w:t>
      </w:r>
      <w:r>
        <w:rPr>
          <w:rFonts w:ascii="Calibri Light" w:hAnsi="Calibri Light"/>
        </w:rPr>
        <w:t xml:space="preserve"> izvršenja ugovora niže navedenog stručnjaka</w:t>
      </w:r>
      <w:r w:rsidR="00275FDB">
        <w:rPr>
          <w:rFonts w:ascii="Calibri Light" w:hAnsi="Calibri Light"/>
        </w:rPr>
        <w:t>/e</w:t>
      </w:r>
      <w:r w:rsidRPr="003F6359">
        <w:rPr>
          <w:rFonts w:ascii="Calibri Light" w:hAnsi="Calibri Light"/>
        </w:rPr>
        <w:t>:</w:t>
      </w:r>
    </w:p>
    <w:p w14:paraId="1F77D6AF" w14:textId="77777777" w:rsidR="0084507C" w:rsidRPr="003F6359" w:rsidRDefault="0084507C" w:rsidP="00BA2C7A">
      <w:pPr>
        <w:spacing w:after="0" w:line="240" w:lineRule="auto"/>
        <w:rPr>
          <w:rFonts w:ascii="Calibri Light" w:hAnsi="Calibri Light"/>
        </w:rPr>
      </w:pPr>
    </w:p>
    <w:p w14:paraId="5C203766" w14:textId="03D570BB" w:rsidR="00BA2C7A" w:rsidRPr="00BA2C7A" w:rsidRDefault="0084507C" w:rsidP="00BA2C7A">
      <w:pPr>
        <w:autoSpaceDE w:val="0"/>
        <w:autoSpaceDN w:val="0"/>
        <w:adjustRightInd w:val="0"/>
        <w:spacing w:after="0" w:line="240" w:lineRule="auto"/>
        <w:rPr>
          <w:rFonts w:ascii="Titillium" w:eastAsiaTheme="minorHAnsi" w:hAnsi="Titillium"/>
          <w:color w:val="000000"/>
          <w:sz w:val="20"/>
          <w:szCs w:val="20"/>
        </w:rPr>
      </w:pPr>
      <w:r>
        <w:rPr>
          <w:rFonts w:ascii="Titillium" w:eastAsiaTheme="minorHAnsi" w:hAnsi="Titillium" w:cs="Arial"/>
          <w:color w:val="000000"/>
          <w:sz w:val="20"/>
          <w:szCs w:val="20"/>
        </w:rPr>
        <w:t>S obzirom na</w:t>
      </w:r>
      <w:r w:rsidR="00BA2C7A" w:rsidRPr="00BA2C7A">
        <w:rPr>
          <w:rFonts w:ascii="Titillium" w:eastAsiaTheme="minorHAnsi" w:hAnsi="Titillium" w:cs="Arial"/>
          <w:color w:val="000000"/>
          <w:sz w:val="20"/>
          <w:szCs w:val="20"/>
        </w:rPr>
        <w:t xml:space="preserve"> ozbiljnost i složenost projekta za koje će Naručitelj koristiti usluge koje su predmet ovog postupka javne nabave, kao i predviđeno trajanje provedbe projekta, Naručitelj određuje strukturu te obrazovne </w:t>
      </w:r>
      <w:r w:rsidR="00C93E48">
        <w:rPr>
          <w:rFonts w:ascii="Titillium" w:eastAsiaTheme="minorHAnsi" w:hAnsi="Titillium" w:cs="Arial"/>
          <w:color w:val="000000"/>
          <w:sz w:val="20"/>
          <w:szCs w:val="20"/>
        </w:rPr>
        <w:t>i stručne kvalifikacije ključnog/ih</w:t>
      </w:r>
      <w:r w:rsidR="00BA2C7A" w:rsidRPr="00BA2C7A">
        <w:rPr>
          <w:rFonts w:ascii="Titillium" w:eastAsiaTheme="minorHAnsi" w:hAnsi="Titillium" w:cs="Arial"/>
          <w:color w:val="000000"/>
          <w:sz w:val="20"/>
          <w:szCs w:val="20"/>
        </w:rPr>
        <w:t xml:space="preserve"> stručnjaka</w:t>
      </w:r>
      <w:r>
        <w:rPr>
          <w:rFonts w:ascii="Titillium" w:eastAsiaTheme="minorHAnsi" w:hAnsi="Titillium" w:cs="Arial"/>
          <w:color w:val="000000"/>
          <w:sz w:val="20"/>
          <w:szCs w:val="20"/>
        </w:rPr>
        <w:t>.</w:t>
      </w:r>
      <w:r w:rsidR="00BA2C7A" w:rsidRPr="00BA2C7A">
        <w:rPr>
          <w:rFonts w:ascii="Titillium" w:eastAsiaTheme="minorHAnsi" w:hAnsi="Titillium"/>
          <w:color w:val="000000"/>
          <w:sz w:val="20"/>
          <w:szCs w:val="20"/>
        </w:rPr>
        <w:t xml:space="preserve"> </w:t>
      </w:r>
    </w:p>
    <w:p w14:paraId="13A56985" w14:textId="77777777" w:rsidR="00BA2C7A" w:rsidRPr="00BA2C7A" w:rsidRDefault="00BA2C7A" w:rsidP="00BA2C7A">
      <w:pPr>
        <w:autoSpaceDE w:val="0"/>
        <w:autoSpaceDN w:val="0"/>
        <w:adjustRightInd w:val="0"/>
        <w:spacing w:after="0" w:line="240" w:lineRule="auto"/>
        <w:rPr>
          <w:rFonts w:ascii="Titillium" w:eastAsiaTheme="minorHAnsi" w:hAnsi="Titillium" w:cs="Arial"/>
          <w:sz w:val="20"/>
          <w:szCs w:val="20"/>
        </w:rPr>
      </w:pPr>
    </w:p>
    <w:p w14:paraId="4BCDBFD3" w14:textId="11E3FE76" w:rsidR="00BA2C7A" w:rsidRPr="00BA2C7A" w:rsidRDefault="0084507C" w:rsidP="00BA2C7A">
      <w:pPr>
        <w:autoSpaceDE w:val="0"/>
        <w:autoSpaceDN w:val="0"/>
        <w:adjustRightInd w:val="0"/>
        <w:spacing w:after="0" w:line="240" w:lineRule="auto"/>
        <w:rPr>
          <w:rFonts w:ascii="Titillium" w:eastAsiaTheme="minorHAnsi" w:hAnsi="Titillium" w:cs="Arial"/>
          <w:sz w:val="20"/>
          <w:szCs w:val="20"/>
        </w:rPr>
      </w:pPr>
      <w:r w:rsidRPr="0084507C">
        <w:rPr>
          <w:rFonts w:ascii="Titillium" w:eastAsiaTheme="minorHAnsi" w:hAnsi="Titillium" w:cs="Arial"/>
          <w:b/>
          <w:bCs/>
          <w:sz w:val="20"/>
          <w:szCs w:val="20"/>
        </w:rPr>
        <w:t>Ključni</w:t>
      </w:r>
      <w:r w:rsidR="00890ECA">
        <w:rPr>
          <w:rFonts w:ascii="Titillium" w:eastAsiaTheme="minorHAnsi" w:hAnsi="Titillium" w:cs="Arial"/>
          <w:b/>
          <w:bCs/>
          <w:sz w:val="20"/>
          <w:szCs w:val="20"/>
        </w:rPr>
        <w:t xml:space="preserve"> stručnjak/</w:t>
      </w:r>
      <w:r w:rsidRPr="0084507C">
        <w:rPr>
          <w:rFonts w:ascii="Titillium" w:eastAsiaTheme="minorHAnsi" w:hAnsi="Titillium" w:cs="Arial"/>
          <w:b/>
          <w:bCs/>
          <w:sz w:val="20"/>
          <w:szCs w:val="20"/>
        </w:rPr>
        <w:t>stručnjaci</w:t>
      </w:r>
      <w:r w:rsidR="00BA2C7A" w:rsidRPr="00BA2C7A">
        <w:rPr>
          <w:rFonts w:ascii="Titillium" w:eastAsiaTheme="minorHAnsi" w:hAnsi="Titillium" w:cs="Arial"/>
          <w:b/>
          <w:bCs/>
          <w:sz w:val="20"/>
          <w:szCs w:val="20"/>
        </w:rPr>
        <w:t xml:space="preserve">: Stručnjak za javnu nabavu </w:t>
      </w:r>
    </w:p>
    <w:p w14:paraId="2F44D772" w14:textId="2031E319" w:rsidR="00BA2C7A" w:rsidRPr="00BA2C7A" w:rsidRDefault="00890ECA" w:rsidP="00BA2C7A">
      <w:pPr>
        <w:autoSpaceDE w:val="0"/>
        <w:autoSpaceDN w:val="0"/>
        <w:adjustRightInd w:val="0"/>
        <w:spacing w:after="0" w:line="240" w:lineRule="auto"/>
        <w:rPr>
          <w:rFonts w:ascii="Titillium" w:eastAsiaTheme="minorHAnsi" w:hAnsi="Titillium" w:cs="Arial"/>
          <w:sz w:val="20"/>
          <w:szCs w:val="20"/>
        </w:rPr>
      </w:pPr>
      <w:r>
        <w:rPr>
          <w:rFonts w:ascii="Titillium" w:eastAsiaTheme="minorHAnsi" w:hAnsi="Titillium" w:cs="Arial"/>
          <w:sz w:val="20"/>
          <w:szCs w:val="20"/>
        </w:rPr>
        <w:t>Stručnjak/</w:t>
      </w:r>
      <w:r w:rsidR="00BA2C7A" w:rsidRPr="00BA2C7A">
        <w:rPr>
          <w:rFonts w:ascii="Titillium" w:eastAsiaTheme="minorHAnsi" w:hAnsi="Titillium" w:cs="Arial"/>
          <w:sz w:val="20"/>
          <w:szCs w:val="20"/>
        </w:rPr>
        <w:t>S</w:t>
      </w:r>
      <w:r>
        <w:rPr>
          <w:rFonts w:ascii="Titillium" w:eastAsiaTheme="minorHAnsi" w:hAnsi="Titillium" w:cs="Arial"/>
          <w:sz w:val="20"/>
          <w:szCs w:val="20"/>
        </w:rPr>
        <w:t>tručnjaci za javnu nabavu mora</w:t>
      </w:r>
      <w:r w:rsidR="00BA2C7A" w:rsidRPr="00BA2C7A">
        <w:rPr>
          <w:rFonts w:ascii="Titillium" w:eastAsiaTheme="minorHAnsi" w:hAnsi="Titillium" w:cs="Arial"/>
          <w:sz w:val="20"/>
          <w:szCs w:val="20"/>
        </w:rPr>
        <w:t xml:space="preserve"> zadovoljiti sljedeće minimalne uvjete: </w:t>
      </w:r>
    </w:p>
    <w:p w14:paraId="67C4E469" w14:textId="7D78E117" w:rsidR="0084507C" w:rsidRPr="00275FDB" w:rsidRDefault="00BA2C7A" w:rsidP="0084507C">
      <w:pPr>
        <w:pStyle w:val="ListParagraph"/>
        <w:numPr>
          <w:ilvl w:val="1"/>
          <w:numId w:val="12"/>
        </w:numPr>
        <w:autoSpaceDE w:val="0"/>
        <w:autoSpaceDN w:val="0"/>
        <w:adjustRightInd w:val="0"/>
        <w:rPr>
          <w:rFonts w:ascii="Titillium" w:eastAsiaTheme="minorHAnsi" w:hAnsi="Titillium" w:cs="Arial"/>
          <w:sz w:val="20"/>
          <w:szCs w:val="20"/>
        </w:rPr>
      </w:pPr>
      <w:r w:rsidRPr="0084507C">
        <w:rPr>
          <w:rFonts w:ascii="Titillium" w:eastAsiaTheme="minorHAnsi" w:hAnsi="Titillium" w:cs="Arial"/>
          <w:sz w:val="20"/>
          <w:szCs w:val="20"/>
        </w:rPr>
        <w:t>visoka stručna sprema, odnosno završen i diplomski sveučilišni studij ili specijalistički diplomski stručni studij</w:t>
      </w:r>
      <w:r w:rsidR="0084507C" w:rsidRPr="0084507C">
        <w:rPr>
          <w:rFonts w:ascii="Titillium" w:eastAsiaTheme="minorHAnsi" w:hAnsi="Titillium" w:cs="Arial"/>
          <w:sz w:val="20"/>
          <w:szCs w:val="20"/>
        </w:rPr>
        <w:t>;</w:t>
      </w:r>
      <w:r w:rsidRPr="0084507C">
        <w:rPr>
          <w:rFonts w:ascii="Titillium" w:eastAsiaTheme="minorHAnsi" w:hAnsi="Titillium" w:cs="Arial"/>
          <w:sz w:val="20"/>
          <w:szCs w:val="20"/>
        </w:rPr>
        <w:t xml:space="preserve"> </w:t>
      </w:r>
    </w:p>
    <w:p w14:paraId="48F10D91" w14:textId="299BBC13" w:rsidR="0084507C" w:rsidRPr="00F343A4" w:rsidRDefault="0084507C" w:rsidP="00F77A9D">
      <w:pPr>
        <w:pStyle w:val="ListParagraph"/>
        <w:numPr>
          <w:ilvl w:val="1"/>
          <w:numId w:val="12"/>
        </w:numPr>
        <w:autoSpaceDE w:val="0"/>
        <w:autoSpaceDN w:val="0"/>
        <w:adjustRightInd w:val="0"/>
        <w:spacing w:after="8"/>
        <w:rPr>
          <w:rFonts w:ascii="Titillium" w:eastAsiaTheme="minorHAnsi" w:hAnsi="Titillium" w:cs="Arial"/>
          <w:color w:val="000000"/>
          <w:sz w:val="20"/>
          <w:szCs w:val="20"/>
        </w:rPr>
      </w:pPr>
      <w:r w:rsidRPr="0084507C">
        <w:rPr>
          <w:rFonts w:ascii="Titillium" w:eastAsiaTheme="minorHAnsi" w:hAnsi="Titillium" w:cs="Arial"/>
          <w:color w:val="000000"/>
          <w:sz w:val="20"/>
          <w:szCs w:val="20"/>
        </w:rPr>
        <w:t>minimalno 5 godina iskustva u pripremi i/ili provedbi postupaka javne nabave, ili savjetovanja u pripremi i/ili provedbi postupaka javne nabave, sukladno Zakonu o javnoj nabavi ili Direktivi 2004/18/EZ odnosno Direktivi 2004/17/EZ ili Direktivi 2014/24/EZ odnosno Direktivi 2014/25/EZ</w:t>
      </w:r>
      <w:r w:rsidR="00C93E48">
        <w:rPr>
          <w:rFonts w:ascii="Titillium" w:eastAsiaTheme="minorHAnsi" w:hAnsi="Titillium" w:cs="Arial"/>
          <w:color w:val="000000"/>
          <w:sz w:val="20"/>
          <w:szCs w:val="20"/>
        </w:rPr>
        <w:t>;</w:t>
      </w:r>
      <w:r w:rsidRPr="0084507C">
        <w:rPr>
          <w:rFonts w:ascii="Titillium" w:eastAsiaTheme="minorHAnsi" w:hAnsi="Titillium" w:cs="Arial"/>
          <w:color w:val="000000"/>
          <w:sz w:val="20"/>
          <w:szCs w:val="20"/>
        </w:rPr>
        <w:t xml:space="preserve"> </w:t>
      </w:r>
    </w:p>
    <w:p w14:paraId="293B2511" w14:textId="2813504E" w:rsidR="0084507C" w:rsidRPr="0084507C" w:rsidRDefault="0084507C" w:rsidP="00F77A9D">
      <w:pPr>
        <w:pStyle w:val="ListParagraph"/>
        <w:numPr>
          <w:ilvl w:val="1"/>
          <w:numId w:val="12"/>
        </w:numPr>
        <w:autoSpaceDE w:val="0"/>
        <w:autoSpaceDN w:val="0"/>
        <w:adjustRightInd w:val="0"/>
        <w:rPr>
          <w:rFonts w:ascii="Titillium" w:eastAsiaTheme="minorHAnsi" w:hAnsi="Titillium" w:cs="Arial"/>
          <w:color w:val="000000"/>
          <w:sz w:val="20"/>
          <w:szCs w:val="20"/>
        </w:rPr>
      </w:pPr>
      <w:r w:rsidRPr="0084507C">
        <w:rPr>
          <w:rFonts w:ascii="Titillium" w:eastAsiaTheme="minorHAnsi" w:hAnsi="Titillium" w:cs="Arial"/>
          <w:color w:val="000000"/>
          <w:sz w:val="20"/>
          <w:szCs w:val="20"/>
        </w:rPr>
        <w:t xml:space="preserve">posjedovanje važećeg </w:t>
      </w:r>
      <w:r w:rsidRPr="0084507C">
        <w:rPr>
          <w:rFonts w:ascii="Titillium" w:eastAsiaTheme="minorHAnsi" w:hAnsi="Titillium" w:cs="Arial"/>
          <w:i/>
          <w:iCs/>
          <w:color w:val="000000"/>
          <w:sz w:val="20"/>
          <w:szCs w:val="20"/>
        </w:rPr>
        <w:t xml:space="preserve">Certifikata u području javne nabave </w:t>
      </w:r>
      <w:r w:rsidRPr="0084507C">
        <w:rPr>
          <w:rFonts w:ascii="Titillium" w:eastAsiaTheme="minorHAnsi" w:hAnsi="Titillium" w:cs="Arial"/>
          <w:color w:val="000000"/>
          <w:sz w:val="20"/>
          <w:szCs w:val="20"/>
        </w:rPr>
        <w:t>ili drugog jednakovrijednog dokumenta izdanog od strane nadležnog tijela</w:t>
      </w:r>
      <w:r w:rsidR="00C93E48">
        <w:rPr>
          <w:rFonts w:ascii="Titillium" w:eastAsiaTheme="minorHAnsi" w:hAnsi="Titillium" w:cs="Arial"/>
          <w:color w:val="000000"/>
          <w:sz w:val="20"/>
          <w:szCs w:val="20"/>
        </w:rPr>
        <w:t>.</w:t>
      </w:r>
      <w:r w:rsidRPr="0084507C">
        <w:rPr>
          <w:rFonts w:ascii="Titillium" w:eastAsiaTheme="minorHAnsi" w:hAnsi="Titillium" w:cs="Arial"/>
          <w:color w:val="000000"/>
          <w:sz w:val="20"/>
          <w:szCs w:val="20"/>
        </w:rPr>
        <w:t xml:space="preserve"> </w:t>
      </w:r>
    </w:p>
    <w:p w14:paraId="0B73F459" w14:textId="77777777" w:rsidR="00BA2C7A" w:rsidRDefault="00BA2C7A" w:rsidP="00BA2C7A">
      <w:pPr>
        <w:spacing w:after="0" w:line="240" w:lineRule="auto"/>
        <w:rPr>
          <w:rFonts w:ascii="Calibri Light" w:hAnsi="Calibri Light"/>
        </w:rPr>
      </w:pPr>
    </w:p>
    <w:p w14:paraId="1E427570" w14:textId="77777777" w:rsidR="00BA2C7A" w:rsidRDefault="00BA2C7A" w:rsidP="00BA2C7A">
      <w:pPr>
        <w:spacing w:after="0" w:line="240" w:lineRule="auto"/>
        <w:rPr>
          <w:rFonts w:ascii="Calibri Light" w:hAnsi="Calibri Light"/>
        </w:rPr>
      </w:pPr>
    </w:p>
    <w:p w14:paraId="7A71C39C" w14:textId="77777777" w:rsidR="00BA2C7A" w:rsidRPr="00365415" w:rsidRDefault="00BA2C7A" w:rsidP="00BA2C7A">
      <w:pPr>
        <w:shd w:val="clear" w:color="auto" w:fill="D9D9D9" w:themeFill="background1" w:themeFillShade="D9"/>
        <w:autoSpaceDE w:val="0"/>
        <w:autoSpaceDN w:val="0"/>
        <w:adjustRightInd w:val="0"/>
        <w:spacing w:after="0" w:line="240" w:lineRule="auto"/>
        <w:jc w:val="both"/>
        <w:rPr>
          <w:rFonts w:ascii="Calibri Light" w:hAnsi="Calibri Light" w:cs="Arial"/>
          <w:color w:val="000000"/>
          <w:lang w:eastAsia="en-GB"/>
        </w:rPr>
      </w:pPr>
      <w:r w:rsidRPr="00365415">
        <w:rPr>
          <w:rFonts w:ascii="Calibri Light" w:hAnsi="Calibri Light" w:cs="Arial"/>
          <w:color w:val="000000"/>
          <w:lang w:eastAsia="en-GB"/>
        </w:rPr>
        <w:t xml:space="preserve">Za potrebe utvrđivanja gore navedenog, gospodarski subjekt u ponudi dostavlja: </w:t>
      </w:r>
    </w:p>
    <w:p w14:paraId="78E335A8" w14:textId="29DD6B2E" w:rsidR="00BA2C7A" w:rsidRPr="00127B0E" w:rsidRDefault="00BA2C7A" w:rsidP="00F77A9D">
      <w:pPr>
        <w:pStyle w:val="ListParagraph"/>
        <w:numPr>
          <w:ilvl w:val="0"/>
          <w:numId w:val="12"/>
        </w:numPr>
        <w:shd w:val="clear" w:color="auto" w:fill="D9D9D9" w:themeFill="background1" w:themeFillShade="D9"/>
        <w:autoSpaceDE w:val="0"/>
        <w:autoSpaceDN w:val="0"/>
        <w:adjustRightInd w:val="0"/>
        <w:jc w:val="both"/>
        <w:rPr>
          <w:rFonts w:ascii="Calibri Light" w:hAnsi="Calibri Light" w:cs="Arial"/>
          <w:color w:val="000000"/>
          <w:sz w:val="22"/>
          <w:szCs w:val="22"/>
          <w:lang w:eastAsia="en-GB"/>
        </w:rPr>
      </w:pPr>
      <w:r w:rsidRPr="00365415">
        <w:rPr>
          <w:rFonts w:ascii="Calibri Light" w:hAnsi="Calibri Light" w:cs="Arial"/>
          <w:b/>
          <w:bCs/>
          <w:color w:val="000000"/>
          <w:sz w:val="22"/>
          <w:szCs w:val="22"/>
          <w:lang w:eastAsia="en-GB"/>
        </w:rPr>
        <w:t xml:space="preserve">ispunjeni ESPD obrazac: Dio IV. Kriteriji za odabir, odjeljak </w:t>
      </w:r>
      <w:r>
        <w:rPr>
          <w:rFonts w:ascii="Calibri Light" w:hAnsi="Calibri Light" w:cs="Arial"/>
          <w:b/>
          <w:bCs/>
          <w:color w:val="000000"/>
          <w:sz w:val="22"/>
          <w:szCs w:val="22"/>
          <w:lang w:eastAsia="en-GB"/>
        </w:rPr>
        <w:t>C</w:t>
      </w:r>
      <w:r w:rsidRPr="00365415">
        <w:rPr>
          <w:rFonts w:ascii="Calibri Light" w:hAnsi="Calibri Light" w:cs="Arial"/>
          <w:b/>
          <w:bCs/>
          <w:color w:val="000000"/>
          <w:sz w:val="22"/>
          <w:szCs w:val="22"/>
          <w:lang w:eastAsia="en-GB"/>
        </w:rPr>
        <w:t xml:space="preserve">: </w:t>
      </w:r>
      <w:r>
        <w:rPr>
          <w:rFonts w:ascii="Calibri Light" w:hAnsi="Calibri Light" w:cs="Arial"/>
          <w:b/>
          <w:bCs/>
          <w:color w:val="000000"/>
          <w:sz w:val="22"/>
          <w:szCs w:val="22"/>
          <w:lang w:eastAsia="en-GB"/>
        </w:rPr>
        <w:t>Tehnička i stručna sposobnost</w:t>
      </w:r>
      <w:r w:rsidRPr="00365415">
        <w:rPr>
          <w:rFonts w:ascii="Calibri Light" w:hAnsi="Calibri Light" w:cs="Arial"/>
          <w:b/>
          <w:bCs/>
          <w:color w:val="000000"/>
          <w:sz w:val="22"/>
          <w:szCs w:val="22"/>
          <w:lang w:eastAsia="en-GB"/>
        </w:rPr>
        <w:t xml:space="preserve">: točka </w:t>
      </w:r>
      <w:r>
        <w:rPr>
          <w:rFonts w:ascii="Calibri Light" w:hAnsi="Calibri Light" w:cs="Arial"/>
          <w:b/>
          <w:bCs/>
          <w:color w:val="000000"/>
          <w:sz w:val="22"/>
          <w:szCs w:val="22"/>
          <w:lang w:eastAsia="en-GB"/>
        </w:rPr>
        <w:t>2</w:t>
      </w:r>
      <w:r w:rsidRPr="00365415">
        <w:rPr>
          <w:rFonts w:ascii="Calibri Light" w:hAnsi="Calibri Light" w:cs="Arial"/>
          <w:b/>
          <w:bCs/>
          <w:color w:val="000000"/>
          <w:sz w:val="22"/>
          <w:szCs w:val="22"/>
          <w:lang w:eastAsia="en-GB"/>
        </w:rPr>
        <w:t xml:space="preserve">. </w:t>
      </w:r>
    </w:p>
    <w:p w14:paraId="3F8E6398" w14:textId="77777777" w:rsidR="00BA2C7A" w:rsidRPr="003F6359" w:rsidRDefault="00BA2C7A" w:rsidP="00BA2C7A">
      <w:pPr>
        <w:autoSpaceDE w:val="0"/>
        <w:autoSpaceDN w:val="0"/>
        <w:adjustRightInd w:val="0"/>
        <w:spacing w:after="0" w:line="240" w:lineRule="auto"/>
        <w:jc w:val="both"/>
        <w:rPr>
          <w:rFonts w:ascii="Calibri Light" w:hAnsi="Calibri Light"/>
          <w:color w:val="000000"/>
        </w:rPr>
      </w:pPr>
    </w:p>
    <w:p w14:paraId="7D477B34" w14:textId="2FDAB718" w:rsidR="00127B0E" w:rsidRPr="001360C8" w:rsidRDefault="0084507C" w:rsidP="00BA2C7A">
      <w:pPr>
        <w:spacing w:after="0" w:line="240" w:lineRule="auto"/>
        <w:jc w:val="both"/>
        <w:rPr>
          <w:rFonts w:ascii="Calibri Light" w:hAnsi="Calibri Light"/>
        </w:rPr>
      </w:pPr>
      <w:r>
        <w:rPr>
          <w:rFonts w:ascii="Calibri Light" w:hAnsi="Calibri Light"/>
        </w:rPr>
        <w:t>Naručitelj će</w:t>
      </w:r>
      <w:r w:rsidR="00BA2C7A" w:rsidRPr="003F6359">
        <w:rPr>
          <w:rFonts w:ascii="Calibri Light" w:hAnsi="Calibri Light"/>
        </w:rPr>
        <w:t xml:space="preserve"> prije donošenja odluke </w:t>
      </w:r>
      <w:r w:rsidR="002D5D56">
        <w:rPr>
          <w:rFonts w:ascii="Calibri Light" w:hAnsi="Calibri Light"/>
        </w:rPr>
        <w:t xml:space="preserve">o odabiru </w:t>
      </w:r>
      <w:r w:rsidR="00BA2C7A" w:rsidRPr="003F6359">
        <w:rPr>
          <w:rFonts w:ascii="Calibri Light" w:hAnsi="Calibri Light"/>
        </w:rPr>
        <w:t>od ponuditelja koji je podnio ekonomski najpovoljniju ponudu zatražiti da u primjerenom roku, ne kraćem od 5 (pet) dana dostavi sljedeće ažurirane popratne dokumente kojima dokazuje</w:t>
      </w:r>
      <w:r w:rsidR="00890ECA" w:rsidRPr="00890ECA">
        <w:rPr>
          <w:rFonts w:ascii="Titillium" w:eastAsiaTheme="minorHAnsi" w:hAnsi="Titillium" w:cs="Arial"/>
          <w:sz w:val="20"/>
          <w:szCs w:val="20"/>
        </w:rPr>
        <w:t xml:space="preserve"> </w:t>
      </w:r>
      <w:r w:rsidR="00890ECA">
        <w:rPr>
          <w:rFonts w:ascii="Titillium" w:eastAsiaTheme="minorHAnsi" w:hAnsi="Titillium" w:cs="Arial"/>
          <w:sz w:val="20"/>
          <w:szCs w:val="20"/>
        </w:rPr>
        <w:t>obrazovne i stručne kvalifikacije pružatelja usluga</w:t>
      </w:r>
      <w:r w:rsidR="00275FDB">
        <w:rPr>
          <w:rFonts w:ascii="Titillium" w:eastAsiaTheme="minorHAnsi" w:hAnsi="Titillium" w:cs="Arial"/>
          <w:sz w:val="20"/>
          <w:szCs w:val="20"/>
        </w:rPr>
        <w:t xml:space="preserve"> i raspoloživost ključnog stručnjaka koji su ili će biti ugovorno vezani za Ponuditelja i na raspolaganju Ponuditelju za izvršenje usluge koja je predmet nabave za vrijeme trajanja ugovora</w:t>
      </w:r>
      <w:r w:rsidR="00127B0E">
        <w:rPr>
          <w:rFonts w:ascii="Calibri Light" w:hAnsi="Calibri Light"/>
        </w:rPr>
        <w:t>:</w:t>
      </w:r>
    </w:p>
    <w:p w14:paraId="48F3D1B8" w14:textId="77777777" w:rsidR="00127B0E" w:rsidRDefault="00127B0E" w:rsidP="0084507C">
      <w:pPr>
        <w:autoSpaceDE w:val="0"/>
        <w:autoSpaceDN w:val="0"/>
        <w:adjustRightInd w:val="0"/>
        <w:spacing w:after="0" w:line="240" w:lineRule="auto"/>
        <w:rPr>
          <w:rFonts w:ascii="Titillium" w:eastAsiaTheme="minorHAnsi" w:hAnsi="Titillium" w:cs="Arial"/>
          <w:sz w:val="20"/>
          <w:szCs w:val="20"/>
        </w:rPr>
      </w:pPr>
    </w:p>
    <w:p w14:paraId="0B0F3F43" w14:textId="25D9559E" w:rsidR="00127B0E" w:rsidRPr="00275FDB" w:rsidRDefault="00127B0E" w:rsidP="00275FDB">
      <w:pPr>
        <w:pageBreakBefore/>
        <w:autoSpaceDE w:val="0"/>
        <w:autoSpaceDN w:val="0"/>
        <w:adjustRightInd w:val="0"/>
        <w:rPr>
          <w:rFonts w:ascii="Titillium" w:eastAsiaTheme="minorHAnsi" w:hAnsi="Titillium" w:cs="Arial"/>
          <w:sz w:val="20"/>
          <w:szCs w:val="20"/>
        </w:rPr>
      </w:pPr>
      <w:r w:rsidRPr="00275FDB">
        <w:rPr>
          <w:rFonts w:ascii="Titillium" w:eastAsiaTheme="minorHAnsi" w:hAnsi="Titillium" w:cs="Arial"/>
          <w:sz w:val="20"/>
          <w:szCs w:val="20"/>
        </w:rPr>
        <w:t xml:space="preserve">Životopisa za svakog predloženog ključnog stručnjaka koji sadrži izjavu stručnjaka da pod materijalnom i kaznenom odgovornošću garantira istinitost podataka navedenih u životopisu, zatim presliku njegove diplome i presliku odgovarajućeg certifikata. Naručitelj ima pravo provjeriti istinitost navoda iz životopisa. </w:t>
      </w:r>
    </w:p>
    <w:p w14:paraId="62FA986C" w14:textId="77777777" w:rsidR="00127B0E" w:rsidRPr="00BA2C7A" w:rsidRDefault="00127B0E" w:rsidP="00127B0E">
      <w:pPr>
        <w:autoSpaceDE w:val="0"/>
        <w:autoSpaceDN w:val="0"/>
        <w:adjustRightInd w:val="0"/>
        <w:spacing w:after="0" w:line="240" w:lineRule="auto"/>
        <w:rPr>
          <w:rFonts w:ascii="Titillium" w:eastAsiaTheme="minorHAnsi" w:hAnsi="Titillium" w:cs="Arial"/>
          <w:sz w:val="20"/>
          <w:szCs w:val="20"/>
        </w:rPr>
      </w:pPr>
      <w:r w:rsidRPr="00BA2C7A">
        <w:rPr>
          <w:rFonts w:ascii="Titillium" w:eastAsiaTheme="minorHAnsi" w:hAnsi="Titillium" w:cs="Arial"/>
          <w:sz w:val="20"/>
          <w:szCs w:val="20"/>
        </w:rPr>
        <w:t xml:space="preserve">Iz životopisa ključnih stručnjaka treba biti jasno vidljivo da ispunjavaju definirane minimalne uvjete. </w:t>
      </w:r>
    </w:p>
    <w:p w14:paraId="42B65215" w14:textId="77777777" w:rsidR="00127B0E" w:rsidRDefault="00127B0E" w:rsidP="00127B0E">
      <w:pPr>
        <w:autoSpaceDE w:val="0"/>
        <w:autoSpaceDN w:val="0"/>
        <w:adjustRightInd w:val="0"/>
        <w:spacing w:after="0" w:line="240" w:lineRule="auto"/>
        <w:rPr>
          <w:rFonts w:ascii="Titillium" w:eastAsiaTheme="minorHAnsi" w:hAnsi="Titillium" w:cs="Arial"/>
          <w:sz w:val="20"/>
          <w:szCs w:val="20"/>
        </w:rPr>
      </w:pPr>
      <w:r w:rsidRPr="00BA2C7A">
        <w:rPr>
          <w:rFonts w:ascii="Titillium" w:eastAsiaTheme="minorHAnsi" w:hAnsi="Titillium" w:cs="Arial"/>
          <w:sz w:val="20"/>
          <w:szCs w:val="20"/>
        </w:rPr>
        <w:t xml:space="preserve">Za sve ključne stručnjake Naručitelj navodi minimalne obrazovne i stručne kvalifikacije. </w:t>
      </w:r>
    </w:p>
    <w:p w14:paraId="2E659B9A" w14:textId="77777777" w:rsidR="00127B0E" w:rsidRDefault="00127B0E" w:rsidP="0084507C">
      <w:pPr>
        <w:autoSpaceDE w:val="0"/>
        <w:autoSpaceDN w:val="0"/>
        <w:adjustRightInd w:val="0"/>
        <w:spacing w:after="0" w:line="240" w:lineRule="auto"/>
        <w:rPr>
          <w:rFonts w:ascii="Titillium" w:eastAsiaTheme="minorHAnsi" w:hAnsi="Titillium" w:cs="Arial"/>
          <w:sz w:val="20"/>
          <w:szCs w:val="20"/>
        </w:rPr>
      </w:pPr>
    </w:p>
    <w:p w14:paraId="336EBFA8" w14:textId="77777777" w:rsidR="00127B0E" w:rsidRDefault="00127B0E" w:rsidP="00127B0E">
      <w:pPr>
        <w:spacing w:after="0" w:line="240" w:lineRule="auto"/>
        <w:jc w:val="both"/>
        <w:rPr>
          <w:rFonts w:ascii="Calibri Light" w:hAnsi="Calibri Light" w:cs="Calibri"/>
        </w:rPr>
      </w:pPr>
      <w:r>
        <w:rPr>
          <w:rFonts w:ascii="Calibri Light" w:hAnsi="Calibri Light"/>
        </w:rPr>
        <w:t>Imenovani</w:t>
      </w:r>
      <w:r w:rsidRPr="003F6359">
        <w:rPr>
          <w:rFonts w:ascii="Calibri Light" w:hAnsi="Calibri Light"/>
        </w:rPr>
        <w:t xml:space="preserve"> </w:t>
      </w:r>
      <w:r>
        <w:rPr>
          <w:rFonts w:ascii="Calibri Light" w:hAnsi="Calibri Light"/>
        </w:rPr>
        <w:t xml:space="preserve">stručnjak/stručnjaci </w:t>
      </w:r>
      <w:r w:rsidRPr="003F6359">
        <w:rPr>
          <w:rFonts w:ascii="Calibri Light" w:hAnsi="Calibri Light"/>
        </w:rPr>
        <w:t xml:space="preserve">za potrebe izvršenja usluge trebaju biti u mogućnosti komunicirati na hrvatskom jeziku i latiničnom pismu. </w:t>
      </w:r>
      <w:r w:rsidRPr="003F6359">
        <w:rPr>
          <w:rFonts w:ascii="Calibri Light" w:hAnsi="Calibri Light" w:cs="Calibri"/>
        </w:rPr>
        <w:t xml:space="preserve">U slučaju da </w:t>
      </w:r>
      <w:r>
        <w:rPr>
          <w:rFonts w:ascii="Calibri Light" w:hAnsi="Calibri Light" w:cs="Calibri"/>
        </w:rPr>
        <w:t xml:space="preserve">imenovani stručnjak/stručnjaci </w:t>
      </w:r>
      <w:r w:rsidRPr="003F6359">
        <w:rPr>
          <w:rFonts w:ascii="Calibri Light" w:hAnsi="Calibri Light" w:cs="Calibri"/>
        </w:rPr>
        <w:t>ne poznaju hrvatski jezik i latinično pismo, odabrani ponuditelj obvezan je o vlastitom trošku koji mora biti uključen u cijenu ponude osigurati osobu koja će osigurati nesmetanu komunikaciju prilikom provođenja izvršenja usluge.</w:t>
      </w:r>
    </w:p>
    <w:p w14:paraId="2160399A" w14:textId="77777777" w:rsidR="00275FDB" w:rsidRDefault="00275FDB" w:rsidP="00127B0E">
      <w:pPr>
        <w:spacing w:after="0" w:line="240" w:lineRule="auto"/>
        <w:jc w:val="both"/>
        <w:rPr>
          <w:rFonts w:ascii="Calibri Light" w:hAnsi="Calibri Light" w:cs="Calibri"/>
        </w:rPr>
      </w:pPr>
    </w:p>
    <w:p w14:paraId="038E815F" w14:textId="5FAB22C4" w:rsidR="00275FDB" w:rsidRDefault="00275FDB" w:rsidP="00127B0E">
      <w:pPr>
        <w:spacing w:after="0" w:line="240" w:lineRule="auto"/>
        <w:jc w:val="both"/>
        <w:rPr>
          <w:rFonts w:ascii="Calibri Light" w:hAnsi="Calibri Light" w:cs="Calibri"/>
        </w:rPr>
      </w:pPr>
      <w:r>
        <w:rPr>
          <w:rFonts w:ascii="Calibri Light" w:hAnsi="Calibri Light" w:cs="Calibri"/>
        </w:rPr>
        <w:t>Izjavu u kojoj mora navesti ime i prezime osobe predložene za ulogu ključnog stručnjaka</w:t>
      </w:r>
      <w:r w:rsidR="005D6F19">
        <w:rPr>
          <w:rFonts w:ascii="Calibri Light" w:hAnsi="Calibri Light" w:cs="Calibri"/>
        </w:rPr>
        <w:t xml:space="preserve"> i dokaz o raspoloživosti istih za sve vrijeme trajanja ugovora.</w:t>
      </w:r>
      <w:r>
        <w:rPr>
          <w:rFonts w:ascii="Calibri Light" w:hAnsi="Calibri Light" w:cs="Calibri"/>
        </w:rPr>
        <w:t xml:space="preserve"> </w:t>
      </w:r>
    </w:p>
    <w:p w14:paraId="4CC16C90" w14:textId="77777777" w:rsidR="00127B0E" w:rsidRPr="00BA2C7A" w:rsidRDefault="00127B0E" w:rsidP="0084507C">
      <w:pPr>
        <w:autoSpaceDE w:val="0"/>
        <w:autoSpaceDN w:val="0"/>
        <w:adjustRightInd w:val="0"/>
        <w:spacing w:after="0" w:line="240" w:lineRule="auto"/>
        <w:rPr>
          <w:rFonts w:ascii="Titillium" w:eastAsiaTheme="minorHAnsi" w:hAnsi="Titillium" w:cs="Arial"/>
          <w:sz w:val="20"/>
          <w:szCs w:val="20"/>
        </w:rPr>
      </w:pPr>
    </w:p>
    <w:p w14:paraId="2BD0F492" w14:textId="3578992C" w:rsidR="00C46229" w:rsidRDefault="00C46229" w:rsidP="005F21B3">
      <w:pPr>
        <w:pStyle w:val="NoSpacing"/>
        <w:jc w:val="both"/>
        <w:rPr>
          <w:rFonts w:ascii="Titillium" w:hAnsi="Titillium"/>
          <w:bCs/>
          <w:sz w:val="20"/>
          <w:szCs w:val="20"/>
        </w:rPr>
      </w:pPr>
    </w:p>
    <w:p w14:paraId="0A435750" w14:textId="665A99DB" w:rsidR="005F21B3" w:rsidRDefault="004B552E" w:rsidP="005F21B3">
      <w:pPr>
        <w:pStyle w:val="NoSpacing"/>
        <w:jc w:val="both"/>
        <w:rPr>
          <w:rFonts w:ascii="Titillium" w:hAnsi="Titillium"/>
          <w:b/>
          <w:bCs/>
          <w:sz w:val="20"/>
          <w:szCs w:val="20"/>
        </w:rPr>
      </w:pPr>
      <w:r>
        <w:rPr>
          <w:rFonts w:ascii="Titillium" w:hAnsi="Titillium"/>
          <w:b/>
          <w:bCs/>
          <w:sz w:val="20"/>
          <w:szCs w:val="20"/>
        </w:rPr>
        <w:t>4.2</w:t>
      </w:r>
      <w:r w:rsidR="005F21B3" w:rsidRPr="005F21B3">
        <w:rPr>
          <w:rFonts w:ascii="Titillium" w:hAnsi="Titillium"/>
          <w:b/>
          <w:bCs/>
          <w:sz w:val="20"/>
          <w:szCs w:val="20"/>
        </w:rPr>
        <w:t xml:space="preserve">. </w:t>
      </w:r>
      <w:r w:rsidR="005F21B3" w:rsidRPr="005F21B3">
        <w:rPr>
          <w:rFonts w:ascii="Titillium" w:hAnsi="Titillium"/>
          <w:b/>
          <w:bCs/>
          <w:sz w:val="20"/>
          <w:szCs w:val="20"/>
        </w:rPr>
        <w:tab/>
      </w:r>
      <w:r w:rsidR="00F974A0" w:rsidRPr="005F21B3">
        <w:rPr>
          <w:rFonts w:ascii="Titillium" w:hAnsi="Titillium"/>
          <w:b/>
          <w:bCs/>
          <w:sz w:val="20"/>
          <w:szCs w:val="20"/>
        </w:rPr>
        <w:t>Uvjeti</w:t>
      </w:r>
      <w:r w:rsidR="005F21B3" w:rsidRPr="005F21B3">
        <w:rPr>
          <w:rFonts w:ascii="Titillium" w:hAnsi="Titillium"/>
          <w:b/>
          <w:bCs/>
          <w:sz w:val="20"/>
          <w:szCs w:val="20"/>
        </w:rPr>
        <w:t xml:space="preserve"> sposobnosti u slučaju zajednice gospodarskih subjekata</w:t>
      </w:r>
    </w:p>
    <w:p w14:paraId="54795C79" w14:textId="77777777" w:rsidR="005F21B3" w:rsidRPr="005F21B3" w:rsidRDefault="005F21B3" w:rsidP="005F21B3">
      <w:pPr>
        <w:pStyle w:val="NoSpacing"/>
        <w:jc w:val="both"/>
        <w:rPr>
          <w:rFonts w:ascii="Titillium" w:hAnsi="Titillium"/>
          <w:bCs/>
          <w:sz w:val="20"/>
          <w:szCs w:val="20"/>
        </w:rPr>
      </w:pPr>
      <w:r w:rsidRPr="005F21B3">
        <w:rPr>
          <w:rFonts w:ascii="Titillium" w:hAnsi="Titillium"/>
          <w:bCs/>
          <w:sz w:val="20"/>
          <w:szCs w:val="20"/>
        </w:rPr>
        <w:t>Gospodarski subjekt može se u postupku javne nabave radi dokazivanja ispunjavanja kriterija ekonomske i financijske sposobnosti te tehničke i stručne sposobnosti, za odabir gospodarskog subjekta osloniti na sposobnost drugih subjekata, bez obzira na pravnu prirodu njihova međusobnog odnosa.</w:t>
      </w:r>
    </w:p>
    <w:p w14:paraId="4EDD6194" w14:textId="77777777" w:rsidR="005F21B3" w:rsidRPr="005F21B3" w:rsidRDefault="005F21B3" w:rsidP="005F21B3">
      <w:pPr>
        <w:pStyle w:val="NoSpacing"/>
        <w:jc w:val="both"/>
        <w:rPr>
          <w:rFonts w:ascii="Titillium" w:hAnsi="Titillium"/>
          <w:bCs/>
          <w:sz w:val="20"/>
          <w:szCs w:val="20"/>
        </w:rPr>
      </w:pPr>
    </w:p>
    <w:p w14:paraId="1DF53985" w14:textId="77777777" w:rsidR="005F21B3" w:rsidRDefault="005F21B3" w:rsidP="005F21B3">
      <w:pPr>
        <w:pStyle w:val="NoSpacing"/>
        <w:jc w:val="both"/>
        <w:rPr>
          <w:rFonts w:ascii="Titillium" w:hAnsi="Titillium"/>
          <w:bCs/>
          <w:sz w:val="20"/>
          <w:szCs w:val="20"/>
        </w:rPr>
      </w:pPr>
      <w:r w:rsidRPr="005F21B3">
        <w:rPr>
          <w:rFonts w:ascii="Titillium" w:hAnsi="Titillium"/>
          <w:bCs/>
          <w:sz w:val="20"/>
          <w:szCs w:val="20"/>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63AC531E" w14:textId="77777777" w:rsidR="00F974A0" w:rsidRPr="005F21B3" w:rsidRDefault="00F974A0" w:rsidP="005F21B3">
      <w:pPr>
        <w:pStyle w:val="NoSpacing"/>
        <w:jc w:val="both"/>
        <w:rPr>
          <w:rFonts w:ascii="Titillium" w:hAnsi="Titillium"/>
          <w:bCs/>
          <w:sz w:val="20"/>
          <w:szCs w:val="20"/>
        </w:rPr>
      </w:pPr>
    </w:p>
    <w:p w14:paraId="64FDA1C1" w14:textId="6F1F4283" w:rsidR="00F974A0" w:rsidRPr="00F974A0" w:rsidRDefault="00F974A0" w:rsidP="00F974A0">
      <w:pPr>
        <w:spacing w:after="0" w:line="240" w:lineRule="auto"/>
        <w:jc w:val="both"/>
        <w:textAlignment w:val="baseline"/>
        <w:rPr>
          <w:rFonts w:ascii="Titillium" w:hAnsi="Titillium"/>
          <w:color w:val="231F20"/>
          <w:sz w:val="20"/>
          <w:szCs w:val="20"/>
        </w:rPr>
      </w:pPr>
      <w:r w:rsidRPr="00F974A0">
        <w:rPr>
          <w:rFonts w:ascii="Titillium" w:hAnsi="Titillium"/>
          <w:color w:val="231F20"/>
          <w:sz w:val="20"/>
          <w:szCs w:val="20"/>
        </w:rPr>
        <w:t xml:space="preserve">Naručitelj će provjeriti ispunjava li drugi subjekt na čiju se sposobnost gospodarski subjekt oslanja relevantne </w:t>
      </w:r>
      <w:r w:rsidRPr="00F974A0">
        <w:rPr>
          <w:rFonts w:ascii="Titillium" w:hAnsi="Titillium"/>
          <w:b/>
          <w:color w:val="231F20"/>
          <w:sz w:val="20"/>
          <w:szCs w:val="20"/>
        </w:rPr>
        <w:t>kriterije za odabir gospodarskog subjekta (uvjete sposobnost) sukl</w:t>
      </w:r>
      <w:r w:rsidR="004B552E">
        <w:rPr>
          <w:rFonts w:ascii="Titillium" w:hAnsi="Titillium"/>
          <w:b/>
          <w:color w:val="231F20"/>
          <w:sz w:val="20"/>
          <w:szCs w:val="20"/>
        </w:rPr>
        <w:t>adno točki</w:t>
      </w:r>
      <w:r w:rsidR="00CF152F">
        <w:rPr>
          <w:rFonts w:ascii="Titillium" w:hAnsi="Titillium"/>
          <w:b/>
          <w:color w:val="231F20"/>
          <w:sz w:val="20"/>
          <w:szCs w:val="20"/>
        </w:rPr>
        <w:t xml:space="preserve"> 4.2</w:t>
      </w:r>
      <w:r w:rsidRPr="00F974A0">
        <w:rPr>
          <w:rFonts w:ascii="Titillium" w:hAnsi="Titillium"/>
          <w:b/>
          <w:color w:val="231F20"/>
          <w:sz w:val="20"/>
          <w:szCs w:val="20"/>
        </w:rPr>
        <w:t>. ove Dokumentacije o  nabavi te postoje li osnove za isključenje sukladno točkama 3.1. i 3.2. ove Dokumentacije o  nabavi</w:t>
      </w:r>
      <w:r w:rsidRPr="00F974A0">
        <w:rPr>
          <w:rFonts w:ascii="Titillium" w:hAnsi="Titillium"/>
          <w:color w:val="231F20"/>
          <w:sz w:val="20"/>
          <w:szCs w:val="20"/>
        </w:rPr>
        <w:t>.</w:t>
      </w:r>
    </w:p>
    <w:p w14:paraId="71334C9E" w14:textId="77777777" w:rsidR="005F21B3" w:rsidRPr="005F21B3" w:rsidRDefault="005F21B3" w:rsidP="005F21B3">
      <w:pPr>
        <w:pStyle w:val="NoSpacing"/>
        <w:jc w:val="both"/>
        <w:rPr>
          <w:rFonts w:ascii="Titillium" w:hAnsi="Titillium"/>
          <w:bCs/>
          <w:sz w:val="20"/>
          <w:szCs w:val="20"/>
        </w:rPr>
      </w:pPr>
    </w:p>
    <w:p w14:paraId="580F2BA1" w14:textId="77777777" w:rsidR="005F21B3" w:rsidRPr="005F21B3" w:rsidRDefault="005F21B3" w:rsidP="005F21B3">
      <w:pPr>
        <w:pStyle w:val="NoSpacing"/>
        <w:jc w:val="both"/>
        <w:rPr>
          <w:rFonts w:ascii="Titillium" w:hAnsi="Titillium"/>
          <w:bCs/>
          <w:sz w:val="20"/>
          <w:szCs w:val="20"/>
        </w:rPr>
      </w:pPr>
      <w:r w:rsidRPr="005F21B3">
        <w:rPr>
          <w:rFonts w:ascii="Titillium" w:hAnsi="Titillium"/>
          <w:bCs/>
          <w:sz w:val="20"/>
          <w:szCs w:val="20"/>
        </w:rPr>
        <w:t>Naručitelj će od gospodarskog subjekta zahtijevati da u primjerenom roku ne kraćem od 5 dana zamijeni subjekt na čiju se sposobnost oslonio radi dokazivanja kriterija za odabir ako, utvrdi da kod tog subjekta postoje osnove za isključenje ili da ne udovoljava relevantnim kriterijima za odabir gospodarskog subjekta.</w:t>
      </w:r>
    </w:p>
    <w:p w14:paraId="59099E6C" w14:textId="77777777" w:rsidR="005F21B3" w:rsidRPr="005F21B3" w:rsidRDefault="005F21B3" w:rsidP="005F21B3">
      <w:pPr>
        <w:pStyle w:val="NoSpacing"/>
        <w:jc w:val="both"/>
        <w:rPr>
          <w:rFonts w:ascii="Titillium" w:hAnsi="Titillium"/>
          <w:bCs/>
          <w:sz w:val="20"/>
          <w:szCs w:val="20"/>
        </w:rPr>
      </w:pPr>
    </w:p>
    <w:p w14:paraId="43A82807" w14:textId="38A2A275" w:rsidR="005F21B3" w:rsidRPr="005F21B3" w:rsidRDefault="005F21B3" w:rsidP="005F21B3">
      <w:pPr>
        <w:pStyle w:val="NoSpacing"/>
        <w:jc w:val="both"/>
        <w:rPr>
          <w:rFonts w:ascii="Titillium" w:hAnsi="Titillium"/>
          <w:bCs/>
          <w:sz w:val="20"/>
          <w:szCs w:val="20"/>
        </w:rPr>
      </w:pPr>
      <w:r w:rsidRPr="005F21B3">
        <w:rPr>
          <w:rFonts w:ascii="Titillium" w:hAnsi="Titillium"/>
          <w:bCs/>
          <w:sz w:val="20"/>
          <w:szCs w:val="20"/>
        </w:rPr>
        <w:t xml:space="preserve">Pod istim uvjetima, zajednica gospodarskih subjekata može se osloniti na sposobnost članova </w:t>
      </w:r>
      <w:r w:rsidR="00794495">
        <w:rPr>
          <w:rFonts w:ascii="Titillium" w:hAnsi="Titillium"/>
          <w:bCs/>
          <w:sz w:val="20"/>
          <w:szCs w:val="20"/>
        </w:rPr>
        <w:t xml:space="preserve">zajednice ili drugih subjekata. </w:t>
      </w:r>
      <w:r w:rsidRPr="005F21B3">
        <w:rPr>
          <w:rFonts w:ascii="Titillium" w:hAnsi="Titillium"/>
          <w:bCs/>
          <w:sz w:val="20"/>
          <w:szCs w:val="20"/>
        </w:rPr>
        <w:t>Ako se gospodarski subjekt oslanja na sposobnost drugih subjekata radi dokazivanja ispunjavanja kriterija ekonomske i financijske sposobnosti, njihova odgovornost za izvršenje ugovora je solidarna.</w:t>
      </w:r>
    </w:p>
    <w:p w14:paraId="2C349C12" w14:textId="77777777" w:rsidR="005F21B3" w:rsidRDefault="005F21B3" w:rsidP="005F21B3">
      <w:pPr>
        <w:pStyle w:val="NoSpacing"/>
        <w:jc w:val="both"/>
        <w:rPr>
          <w:rFonts w:ascii="Titillium" w:hAnsi="Titillium"/>
          <w:bCs/>
          <w:sz w:val="20"/>
          <w:szCs w:val="20"/>
        </w:rPr>
      </w:pPr>
    </w:p>
    <w:p w14:paraId="79541C80" w14:textId="77777777" w:rsidR="0097692E" w:rsidRPr="0097692E" w:rsidRDefault="0097692E" w:rsidP="005F21B3">
      <w:pPr>
        <w:pStyle w:val="NoSpacing"/>
        <w:jc w:val="both"/>
        <w:rPr>
          <w:rFonts w:ascii="Titillium" w:hAnsi="Titillium"/>
          <w:b/>
          <w:bCs/>
          <w:sz w:val="20"/>
          <w:szCs w:val="20"/>
        </w:rPr>
      </w:pPr>
      <w:r w:rsidRPr="0097692E">
        <w:rPr>
          <w:rFonts w:ascii="Titillium" w:hAnsi="Titillium"/>
          <w:b/>
          <w:bCs/>
          <w:sz w:val="20"/>
          <w:szCs w:val="20"/>
        </w:rPr>
        <w:t xml:space="preserve">4.4. </w:t>
      </w:r>
      <w:r w:rsidRPr="0097692E">
        <w:rPr>
          <w:rFonts w:ascii="Titillium" w:hAnsi="Titillium"/>
          <w:b/>
          <w:bCs/>
          <w:sz w:val="20"/>
          <w:szCs w:val="20"/>
        </w:rPr>
        <w:tab/>
        <w:t>Dokumenti kojima se dokazuje ispunjavanje kriterija za odabir gospodarskog subjekta</w:t>
      </w:r>
    </w:p>
    <w:p w14:paraId="2AD66305" w14:textId="77777777" w:rsidR="0097692E" w:rsidRDefault="0097692E" w:rsidP="0097692E">
      <w:pPr>
        <w:pStyle w:val="NoSpacing"/>
        <w:jc w:val="both"/>
        <w:rPr>
          <w:rFonts w:ascii="Titillium" w:hAnsi="Titillium"/>
          <w:bCs/>
          <w:sz w:val="20"/>
          <w:szCs w:val="20"/>
        </w:rPr>
      </w:pPr>
      <w:r w:rsidRPr="0097692E">
        <w:rPr>
          <w:rFonts w:ascii="Titillium" w:hAnsi="Titillium"/>
          <w:bCs/>
          <w:sz w:val="20"/>
          <w:szCs w:val="20"/>
        </w:rPr>
        <w:t xml:space="preserve">Sukladno članku 262. ZJN 2016 Javni naručitelj može u bilo kojem trenutku tijekom postupka javne nabave, ako je to potrebno za pravilno provođenje postupka, provjeriti informacije navedene u europskoj jedinstvenoj dokumentaciji o nabavi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Zakona. </w:t>
      </w:r>
    </w:p>
    <w:p w14:paraId="7DA18EDB" w14:textId="77777777" w:rsidR="00F974A0" w:rsidRPr="0097692E" w:rsidRDefault="00F974A0" w:rsidP="0097692E">
      <w:pPr>
        <w:pStyle w:val="NoSpacing"/>
        <w:jc w:val="both"/>
        <w:rPr>
          <w:rFonts w:ascii="Titillium" w:hAnsi="Titillium"/>
          <w:bCs/>
          <w:sz w:val="20"/>
          <w:szCs w:val="20"/>
        </w:rPr>
      </w:pPr>
    </w:p>
    <w:p w14:paraId="39F251CF" w14:textId="77777777" w:rsidR="0097692E" w:rsidRPr="0097692E" w:rsidRDefault="0097692E" w:rsidP="0097692E">
      <w:pPr>
        <w:pStyle w:val="NoSpacing"/>
        <w:jc w:val="both"/>
        <w:rPr>
          <w:rFonts w:ascii="Titillium" w:hAnsi="Titillium"/>
          <w:bCs/>
          <w:sz w:val="20"/>
          <w:szCs w:val="20"/>
        </w:rPr>
      </w:pPr>
      <w:r w:rsidRPr="0097692E">
        <w:rPr>
          <w:rFonts w:ascii="Titillium" w:hAnsi="Titillium"/>
          <w:bCs/>
          <w:sz w:val="20"/>
          <w:szCs w:val="20"/>
        </w:rPr>
        <w:t xml:space="preserve">Ako se ne može obaviti provjera ili ishoditi potvrda, javni naručitelj može zahtijevati od gospodarskog subjekta da u primjerenom roku, ne kraćem od pet dana, dostavi sve ili dio popratnih dokumenata ili dokaza. </w:t>
      </w:r>
    </w:p>
    <w:p w14:paraId="20393B8E" w14:textId="77777777" w:rsidR="0097692E" w:rsidRDefault="0097692E" w:rsidP="0097692E">
      <w:pPr>
        <w:pStyle w:val="NoSpacing"/>
        <w:jc w:val="both"/>
        <w:rPr>
          <w:rFonts w:ascii="Titillium" w:hAnsi="Titillium"/>
          <w:bCs/>
          <w:sz w:val="20"/>
          <w:szCs w:val="20"/>
        </w:rPr>
      </w:pPr>
      <w:r w:rsidRPr="0097692E">
        <w:rPr>
          <w:rFonts w:ascii="Titillium" w:hAnsi="Titillium"/>
          <w:bCs/>
          <w:sz w:val="20"/>
          <w:szCs w:val="20"/>
        </w:rPr>
        <w:t>Ažurirani popratni dokument je svaki dokument u kojem su sadržani podaci važeći, odgovaraju stvarnom činjeničnom stanju u trenutku dostave naručitelju te dokazuju ono što je gospodarski subjekt naveo u ESPD-u. Smatra se da naručitelj posjeduje ažurirane popratne dokumente ako istima ima izravan pristup elektroničkim sredstvima komunikacije putem besplatne nacionalne baze podataka na jeziku iz članka 280. stavka 2. ZJN 2016 ili putem EOJN RH. Ako se pristup bazama podataka obavlja putem EOJN RH, isti generira izvještaj s podacima u vezi s ažuriranim popratnim dokumentima.</w:t>
      </w:r>
    </w:p>
    <w:p w14:paraId="4EAE89C1" w14:textId="77777777" w:rsidR="00F974A0" w:rsidRPr="0097692E" w:rsidRDefault="00F974A0" w:rsidP="0097692E">
      <w:pPr>
        <w:pStyle w:val="NoSpacing"/>
        <w:jc w:val="both"/>
        <w:rPr>
          <w:rFonts w:ascii="Titillium" w:hAnsi="Titillium"/>
          <w:bCs/>
          <w:sz w:val="20"/>
          <w:szCs w:val="20"/>
        </w:rPr>
      </w:pPr>
    </w:p>
    <w:p w14:paraId="2F576B7B" w14:textId="77777777" w:rsidR="0000533B" w:rsidRPr="00592D45" w:rsidRDefault="0000533B" w:rsidP="0000533B">
      <w:pPr>
        <w:pStyle w:val="box453040"/>
        <w:shd w:val="clear" w:color="auto" w:fill="F2F2F2"/>
        <w:jc w:val="both"/>
        <w:rPr>
          <w:rFonts w:ascii="Calibri Light" w:hAnsi="Calibri Light"/>
          <w:sz w:val="22"/>
          <w:szCs w:val="22"/>
        </w:rPr>
      </w:pPr>
      <w:r w:rsidRPr="00592D45">
        <w:rPr>
          <w:rFonts w:ascii="Calibri Light" w:hAnsi="Calibri Light"/>
          <w:sz w:val="22"/>
          <w:szCs w:val="22"/>
        </w:rPr>
        <w:t>Sukladno članku 263. ZJN 2016, javni naručitelj je obvezan prije donošenja odluke u postupku javne nabave velike vrijednosti od ponuditelja koji je podnio ekonomski najpovoljniju ponudu zatražiti da u primjerenom roku, ne kraćem od pet dana, dostavi ažurirane popratne dokumente , osim ako već posjeduje te dokumente.</w:t>
      </w:r>
    </w:p>
    <w:p w14:paraId="42A0D6A6" w14:textId="77777777" w:rsidR="0000533B" w:rsidRDefault="0000533B" w:rsidP="0097692E">
      <w:pPr>
        <w:pStyle w:val="NoSpacing"/>
        <w:jc w:val="both"/>
        <w:rPr>
          <w:rFonts w:ascii="Titillium" w:hAnsi="Titillium"/>
          <w:bCs/>
          <w:sz w:val="20"/>
          <w:szCs w:val="20"/>
        </w:rPr>
      </w:pPr>
    </w:p>
    <w:p w14:paraId="76BC55AE" w14:textId="77777777" w:rsidR="00794495" w:rsidRDefault="0097692E" w:rsidP="0097692E">
      <w:pPr>
        <w:pStyle w:val="NoSpacing"/>
        <w:jc w:val="both"/>
        <w:rPr>
          <w:rFonts w:ascii="Titillium" w:hAnsi="Titillium"/>
          <w:bCs/>
          <w:sz w:val="20"/>
          <w:szCs w:val="20"/>
        </w:rPr>
      </w:pPr>
      <w:r w:rsidRPr="0097692E">
        <w:rPr>
          <w:rFonts w:ascii="Titillium" w:hAnsi="Titillium"/>
          <w:bCs/>
          <w:sz w:val="20"/>
          <w:szCs w:val="20"/>
        </w:rPr>
        <w:t xml:space="preserve">Ažurirane popratne dokumente ponuditelji mogu dostaviti </w:t>
      </w:r>
      <w:r w:rsidRPr="0097692E">
        <w:rPr>
          <w:rFonts w:ascii="Titillium" w:hAnsi="Titillium"/>
          <w:b/>
          <w:bCs/>
          <w:sz w:val="20"/>
          <w:szCs w:val="20"/>
        </w:rPr>
        <w:t>u neovjerenoj preslici elektroničkim sredstvima komunikacije ili na drugi dokaziv način</w:t>
      </w:r>
      <w:r w:rsidRPr="0097692E">
        <w:rPr>
          <w:rFonts w:ascii="Titillium" w:hAnsi="Titillium"/>
          <w:bCs/>
          <w:sz w:val="20"/>
          <w:szCs w:val="20"/>
        </w:rPr>
        <w:t xml:space="preserve">.  Neovjerenom preslikom smatra se i neovjerena preslika </w:t>
      </w:r>
      <w:r w:rsidR="00794495">
        <w:rPr>
          <w:rFonts w:ascii="Titillium" w:hAnsi="Titillium"/>
          <w:bCs/>
          <w:sz w:val="20"/>
          <w:szCs w:val="20"/>
        </w:rPr>
        <w:t xml:space="preserve">elektroničke isprave na papiru. </w:t>
      </w:r>
    </w:p>
    <w:p w14:paraId="1290733F" w14:textId="4DD3E90E" w:rsidR="0097692E" w:rsidRPr="0097692E" w:rsidRDefault="0097692E" w:rsidP="0097692E">
      <w:pPr>
        <w:pStyle w:val="NoSpacing"/>
        <w:jc w:val="both"/>
        <w:rPr>
          <w:rFonts w:ascii="Titillium" w:hAnsi="Titillium"/>
          <w:bCs/>
          <w:sz w:val="20"/>
          <w:szCs w:val="20"/>
        </w:rPr>
      </w:pPr>
      <w:r w:rsidRPr="0097692E">
        <w:rPr>
          <w:rFonts w:ascii="Titillium" w:hAnsi="Titillium"/>
          <w:bCs/>
          <w:sz w:val="20"/>
          <w:szCs w:val="20"/>
        </w:rPr>
        <w:t>U svrhu dodatne provjere informacija naručitelj može zatražiti dostavu ili stavljanje na uvid izvornika ili ovjerenih preslika jednog ili više traženih dokume</w:t>
      </w:r>
      <w:r w:rsidR="00794495">
        <w:rPr>
          <w:rFonts w:ascii="Titillium" w:hAnsi="Titillium"/>
          <w:bCs/>
          <w:sz w:val="20"/>
          <w:szCs w:val="20"/>
        </w:rPr>
        <w:t xml:space="preserve">nata. </w:t>
      </w:r>
      <w:r w:rsidRPr="0097692E">
        <w:rPr>
          <w:rFonts w:ascii="Titillium" w:hAnsi="Titillium"/>
          <w:bCs/>
          <w:sz w:val="20"/>
          <w:szCs w:val="20"/>
        </w:rPr>
        <w:t>U slučaju postojanja sumnje u istinitost podataka dostavljenih od strane gospodarskog subjekta, javni naručitelj može dostavljene podatke provjeriti kod izdavatelja dokumenta, nadležnog tijela ili treće strane koja ima saznanja o relevantnim činjenicama, osim u slučaju ako je gospodarski subjekt upisan u popis iz pododjeljka 6. Odjeljka C. ZJN 2016.</w:t>
      </w:r>
    </w:p>
    <w:p w14:paraId="4AA1E525" w14:textId="77777777" w:rsidR="0097692E" w:rsidRDefault="0097692E" w:rsidP="0097692E">
      <w:pPr>
        <w:pStyle w:val="NoSpacing"/>
        <w:jc w:val="both"/>
        <w:rPr>
          <w:rFonts w:ascii="Titillium" w:hAnsi="Titillium"/>
          <w:bCs/>
          <w:sz w:val="20"/>
          <w:szCs w:val="20"/>
        </w:rPr>
      </w:pPr>
      <w:r w:rsidRPr="0097692E">
        <w:rPr>
          <w:rFonts w:ascii="Titillium" w:hAnsi="Titillium"/>
          <w:bCs/>
          <w:sz w:val="20"/>
          <w:szCs w:val="20"/>
        </w:rPr>
        <w:t>Dokument kojim ponuditelj  koji je podnio ekonomski najpovoljniju ponudu dokazuje ispunjavanje kriterija za odabir gospodarskog subjekta je:</w:t>
      </w:r>
    </w:p>
    <w:p w14:paraId="3FE08B31" w14:textId="77777777" w:rsidR="0097692E" w:rsidRDefault="0097692E" w:rsidP="0097692E">
      <w:pPr>
        <w:pStyle w:val="NoSpacing"/>
        <w:jc w:val="both"/>
        <w:rPr>
          <w:rFonts w:ascii="Titillium" w:hAnsi="Titillium"/>
          <w:bCs/>
          <w:sz w:val="20"/>
          <w:szCs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8"/>
        <w:gridCol w:w="7626"/>
      </w:tblGrid>
      <w:tr w:rsidR="0097692E" w:rsidRPr="0097692E" w14:paraId="13207B97" w14:textId="77777777" w:rsidTr="00404C15">
        <w:tc>
          <w:tcPr>
            <w:tcW w:w="9924" w:type="dxa"/>
            <w:gridSpan w:val="2"/>
            <w:shd w:val="clear" w:color="auto" w:fill="DEEAF6" w:themeFill="accent1" w:themeFillTint="33"/>
          </w:tcPr>
          <w:p w14:paraId="2448ACF8" w14:textId="77777777" w:rsidR="0097692E" w:rsidRPr="0097692E" w:rsidRDefault="0097692E" w:rsidP="0097692E">
            <w:pPr>
              <w:pStyle w:val="NoSpacing"/>
              <w:rPr>
                <w:rFonts w:ascii="Titillium" w:hAnsi="Titillium"/>
                <w:b/>
                <w:bCs/>
                <w:sz w:val="20"/>
                <w:szCs w:val="20"/>
                <w:lang w:val="pl-PL"/>
              </w:rPr>
            </w:pPr>
            <w:r w:rsidRPr="0097692E">
              <w:rPr>
                <w:rFonts w:ascii="Titillium" w:hAnsi="Titillium"/>
                <w:b/>
                <w:bCs/>
                <w:sz w:val="20"/>
                <w:szCs w:val="20"/>
                <w:lang w:val="pl-PL"/>
              </w:rPr>
              <w:t>SPOSOBNOST ZA OBAVLJANJE PROFESIONALNE DJELATNOSTI</w:t>
            </w:r>
          </w:p>
        </w:tc>
      </w:tr>
      <w:tr w:rsidR="0097692E" w:rsidRPr="0097692E" w14:paraId="2CB28070" w14:textId="77777777" w:rsidTr="00794495">
        <w:tc>
          <w:tcPr>
            <w:tcW w:w="2298" w:type="dxa"/>
          </w:tcPr>
          <w:p w14:paraId="60320CFF" w14:textId="77777777" w:rsidR="0097692E" w:rsidRPr="00520A73" w:rsidRDefault="0097692E" w:rsidP="0097692E">
            <w:pPr>
              <w:pStyle w:val="NoSpacing"/>
              <w:rPr>
                <w:rFonts w:ascii="Titillium" w:hAnsi="Titillium"/>
                <w:b/>
                <w:bCs/>
                <w:sz w:val="20"/>
                <w:szCs w:val="20"/>
              </w:rPr>
            </w:pPr>
            <w:r w:rsidRPr="00520A73">
              <w:rPr>
                <w:rFonts w:ascii="Titillium" w:hAnsi="Titillium"/>
                <w:b/>
                <w:bCs/>
                <w:sz w:val="20"/>
                <w:szCs w:val="20"/>
              </w:rPr>
              <w:t>Točka 4.1.</w:t>
            </w:r>
          </w:p>
          <w:p w14:paraId="7B2974DD" w14:textId="77777777" w:rsidR="0097692E" w:rsidRPr="00520A73" w:rsidRDefault="0097692E" w:rsidP="0097692E">
            <w:pPr>
              <w:pStyle w:val="NoSpacing"/>
              <w:rPr>
                <w:rFonts w:ascii="Titillium" w:hAnsi="Titillium"/>
                <w:b/>
                <w:bCs/>
                <w:sz w:val="20"/>
                <w:szCs w:val="20"/>
              </w:rPr>
            </w:pPr>
            <w:r w:rsidRPr="00520A73">
              <w:rPr>
                <w:rFonts w:ascii="Titillium" w:hAnsi="Titillium"/>
                <w:b/>
                <w:bCs/>
                <w:sz w:val="20"/>
                <w:szCs w:val="20"/>
              </w:rPr>
              <w:t>Dokumentacije o nabavi</w:t>
            </w:r>
          </w:p>
        </w:tc>
        <w:tc>
          <w:tcPr>
            <w:tcW w:w="7626" w:type="dxa"/>
            <w:shd w:val="clear" w:color="auto" w:fill="auto"/>
          </w:tcPr>
          <w:p w14:paraId="00754783" w14:textId="021C9D89" w:rsidR="0097692E" w:rsidRPr="00520A73" w:rsidRDefault="00DC169D" w:rsidP="00F77A9D">
            <w:pPr>
              <w:pStyle w:val="NoSpacing"/>
              <w:numPr>
                <w:ilvl w:val="0"/>
                <w:numId w:val="17"/>
              </w:numPr>
              <w:jc w:val="both"/>
              <w:rPr>
                <w:rFonts w:ascii="Titillium" w:hAnsi="Titillium"/>
                <w:b/>
                <w:bCs/>
                <w:sz w:val="20"/>
                <w:szCs w:val="20"/>
              </w:rPr>
            </w:pPr>
            <w:bookmarkStart w:id="9" w:name="_Toc494273993"/>
            <w:bookmarkStart w:id="10" w:name="_Toc504410303"/>
            <w:r w:rsidRPr="00520A73">
              <w:rPr>
                <w:rFonts w:ascii="Titillium" w:hAnsi="Titillium"/>
                <w:bCs/>
                <w:sz w:val="20"/>
                <w:szCs w:val="20"/>
              </w:rPr>
              <w:t>Izvadak</w:t>
            </w:r>
            <w:r w:rsidR="0097692E" w:rsidRPr="00520A73">
              <w:rPr>
                <w:rFonts w:ascii="Titillium" w:hAnsi="Titillium"/>
                <w:bCs/>
                <w:sz w:val="20"/>
                <w:szCs w:val="20"/>
              </w:rPr>
              <w:t xml:space="preserve"> iz sudskog, obrtnog, strukovnog ili drugog odgovarajućeg registra u državi članici njegovog poslovnog </w:t>
            </w:r>
            <w:proofErr w:type="spellStart"/>
            <w:r w:rsidR="0097692E" w:rsidRPr="00520A73">
              <w:rPr>
                <w:rFonts w:ascii="Titillium" w:hAnsi="Titillium"/>
                <w:bCs/>
                <w:sz w:val="20"/>
                <w:szCs w:val="20"/>
              </w:rPr>
              <w:t>nastana</w:t>
            </w:r>
            <w:proofErr w:type="spellEnd"/>
            <w:r w:rsidR="0097692E" w:rsidRPr="00520A73">
              <w:rPr>
                <w:rFonts w:ascii="Titillium" w:hAnsi="Titillium"/>
                <w:bCs/>
                <w:sz w:val="20"/>
                <w:szCs w:val="20"/>
              </w:rPr>
              <w:t>.</w:t>
            </w:r>
            <w:bookmarkEnd w:id="9"/>
            <w:bookmarkEnd w:id="10"/>
          </w:p>
          <w:p w14:paraId="2E451E92" w14:textId="77777777" w:rsidR="0097692E" w:rsidRPr="00520A73" w:rsidRDefault="0097692E" w:rsidP="00F77A9D">
            <w:pPr>
              <w:pStyle w:val="NoSpacing"/>
              <w:numPr>
                <w:ilvl w:val="0"/>
                <w:numId w:val="17"/>
              </w:numPr>
              <w:jc w:val="both"/>
              <w:rPr>
                <w:rFonts w:ascii="Titillium" w:hAnsi="Titillium"/>
                <w:b/>
                <w:bCs/>
                <w:sz w:val="20"/>
                <w:szCs w:val="20"/>
              </w:rPr>
            </w:pPr>
            <w:bookmarkStart w:id="11" w:name="_Toc494273994"/>
            <w:bookmarkStart w:id="12" w:name="_Toc504410304"/>
            <w:r w:rsidRPr="00520A73">
              <w:rPr>
                <w:rFonts w:ascii="Titillium" w:hAnsi="Titillium"/>
                <w:bCs/>
                <w:sz w:val="20"/>
                <w:szCs w:val="20"/>
              </w:rPr>
              <w:t xml:space="preserve">ako se u državi poslovnog </w:t>
            </w:r>
            <w:proofErr w:type="spellStart"/>
            <w:r w:rsidRPr="00520A73">
              <w:rPr>
                <w:rFonts w:ascii="Titillium" w:hAnsi="Titillium"/>
                <w:bCs/>
                <w:sz w:val="20"/>
                <w:szCs w:val="20"/>
              </w:rPr>
              <w:t>nastana</w:t>
            </w:r>
            <w:proofErr w:type="spellEnd"/>
            <w:r w:rsidRPr="00520A73">
              <w:rPr>
                <w:rFonts w:ascii="Titillium" w:hAnsi="Titillium"/>
                <w:bCs/>
                <w:sz w:val="20"/>
                <w:szCs w:val="20"/>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520A73">
              <w:rPr>
                <w:rFonts w:ascii="Titillium" w:hAnsi="Titillium"/>
                <w:bCs/>
                <w:sz w:val="20"/>
                <w:szCs w:val="20"/>
              </w:rPr>
              <w:t>nastana</w:t>
            </w:r>
            <w:proofErr w:type="spellEnd"/>
            <w:r w:rsidRPr="00520A73">
              <w:rPr>
                <w:rFonts w:ascii="Titillium" w:hAnsi="Titillium"/>
                <w:bCs/>
                <w:sz w:val="20"/>
                <w:szCs w:val="20"/>
              </w:rPr>
              <w:t xml:space="preserve"> gospodarskog subjekta, odnosno državi čiji je osoba državljanin.</w:t>
            </w:r>
            <w:bookmarkEnd w:id="11"/>
            <w:bookmarkEnd w:id="12"/>
          </w:p>
        </w:tc>
      </w:tr>
      <w:tr w:rsidR="00890ECA" w:rsidRPr="0097692E" w14:paraId="3102491E" w14:textId="77777777" w:rsidTr="00794495">
        <w:tc>
          <w:tcPr>
            <w:tcW w:w="2298" w:type="dxa"/>
          </w:tcPr>
          <w:p w14:paraId="2F1045C5" w14:textId="3FBBC084" w:rsidR="00890ECA" w:rsidRPr="00520A73" w:rsidRDefault="00890ECA" w:rsidP="0097692E">
            <w:pPr>
              <w:pStyle w:val="NoSpacing"/>
              <w:rPr>
                <w:rFonts w:ascii="Titillium" w:hAnsi="Titillium"/>
                <w:b/>
                <w:bCs/>
                <w:sz w:val="20"/>
                <w:szCs w:val="20"/>
              </w:rPr>
            </w:pPr>
            <w:r>
              <w:rPr>
                <w:rFonts w:ascii="Titillium" w:hAnsi="Titillium"/>
                <w:b/>
                <w:bCs/>
                <w:sz w:val="20"/>
                <w:szCs w:val="20"/>
              </w:rPr>
              <w:t>Točka 4.2. Dokumentacije o nabavi</w:t>
            </w:r>
          </w:p>
        </w:tc>
        <w:tc>
          <w:tcPr>
            <w:tcW w:w="7626" w:type="dxa"/>
            <w:shd w:val="clear" w:color="auto" w:fill="auto"/>
          </w:tcPr>
          <w:p w14:paraId="1E5153A3" w14:textId="6A0F6AFF" w:rsidR="00890ECA" w:rsidRPr="00520A73" w:rsidRDefault="00890ECA" w:rsidP="00F77A9D">
            <w:pPr>
              <w:pStyle w:val="NoSpacing"/>
              <w:numPr>
                <w:ilvl w:val="0"/>
                <w:numId w:val="17"/>
              </w:numPr>
              <w:jc w:val="both"/>
              <w:rPr>
                <w:rFonts w:ascii="Titillium" w:hAnsi="Titillium"/>
                <w:bCs/>
                <w:sz w:val="20"/>
                <w:szCs w:val="20"/>
              </w:rPr>
            </w:pPr>
            <w:r>
              <w:rPr>
                <w:rFonts w:ascii="Titillium" w:eastAsiaTheme="minorHAnsi" w:hAnsi="Titillium" w:cs="Arial"/>
                <w:sz w:val="20"/>
                <w:szCs w:val="20"/>
              </w:rPr>
              <w:t>ž</w:t>
            </w:r>
            <w:r w:rsidRPr="00BA2C7A">
              <w:rPr>
                <w:rFonts w:ascii="Titillium" w:eastAsiaTheme="minorHAnsi" w:hAnsi="Titillium" w:cs="Arial"/>
                <w:sz w:val="20"/>
                <w:szCs w:val="20"/>
              </w:rPr>
              <w:t>ivotopis</w:t>
            </w:r>
            <w:r>
              <w:rPr>
                <w:rFonts w:ascii="Titillium" w:eastAsiaTheme="minorHAnsi" w:hAnsi="Titillium" w:cs="Arial"/>
                <w:sz w:val="20"/>
                <w:szCs w:val="20"/>
              </w:rPr>
              <w:t xml:space="preserve"> za</w:t>
            </w:r>
            <w:r w:rsidRPr="00BA2C7A">
              <w:rPr>
                <w:rFonts w:ascii="Titillium" w:eastAsiaTheme="minorHAnsi" w:hAnsi="Titillium" w:cs="Arial"/>
                <w:sz w:val="20"/>
                <w:szCs w:val="20"/>
              </w:rPr>
              <w:t xml:space="preserve"> svakog predloženog ključnog stručnjaka koji sadrži izjavu stručnjaka da pod materijalnom i kaznenom odgovornošću garantira istinitost podataka navedenih u životopisu, zatim presliku njegove diplome i presliku odgovarajućeg certifikata</w:t>
            </w:r>
            <w:r>
              <w:rPr>
                <w:rFonts w:ascii="Titillium" w:eastAsiaTheme="minorHAnsi" w:hAnsi="Titillium" w:cs="Arial"/>
                <w:sz w:val="20"/>
                <w:szCs w:val="20"/>
              </w:rPr>
              <w:t>.</w:t>
            </w:r>
          </w:p>
        </w:tc>
      </w:tr>
    </w:tbl>
    <w:p w14:paraId="60208913" w14:textId="77777777" w:rsidR="0097692E" w:rsidRPr="00224143" w:rsidRDefault="0097692E" w:rsidP="0097692E">
      <w:pPr>
        <w:pStyle w:val="NoSpacing"/>
        <w:jc w:val="both"/>
        <w:rPr>
          <w:rFonts w:ascii="Titillium" w:hAnsi="Titillium"/>
          <w:bCs/>
          <w:sz w:val="20"/>
          <w:szCs w:val="20"/>
        </w:rPr>
      </w:pPr>
    </w:p>
    <w:p w14:paraId="5B3779EA" w14:textId="77777777" w:rsidR="00CD70E6" w:rsidRPr="00224143" w:rsidRDefault="00CD70E6" w:rsidP="00CD70E6">
      <w:pPr>
        <w:pStyle w:val="NoSpacing"/>
        <w:jc w:val="both"/>
        <w:rPr>
          <w:rFonts w:ascii="Titillium" w:hAnsi="Titillium"/>
          <w:bCs/>
          <w:sz w:val="20"/>
          <w:szCs w:val="20"/>
        </w:rPr>
      </w:pPr>
      <w:r w:rsidRPr="00224143">
        <w:rPr>
          <w:rFonts w:ascii="Titillium" w:hAnsi="Titillium"/>
          <w:bCs/>
          <w:sz w:val="20"/>
          <w:szCs w:val="20"/>
        </w:rPr>
        <w:t>Ako ponuditelj koji je podnio ekonomski najpovoljniju ponudu ne dostavi ažurirane popratne dokumente u ostavljenom roku ili njima ne dokaže da ispunjava uvjete iz ove Dokumentacije o nabavi, javni naručitelj će odbiti ponudu tog ponuditelja te će, prije donošenja odluke, od ponuditelja koji je podnio sljedeću ekonomski najpovoljniju ponudu zatražiti da u primjerenom roku ne kraćem od pet dana, dostavi ažurirane popratne dokumente tražene iz ove Dokumentacije o nabavi, osim ako već posjeduje te dokumente.</w:t>
      </w:r>
    </w:p>
    <w:p w14:paraId="7A4CE1F1" w14:textId="77777777" w:rsidR="00CD70E6" w:rsidRPr="00224143" w:rsidRDefault="00CD70E6" w:rsidP="00CD70E6">
      <w:pPr>
        <w:pStyle w:val="NoSpacing"/>
        <w:jc w:val="both"/>
        <w:rPr>
          <w:rFonts w:ascii="Titillium" w:hAnsi="Titillium"/>
          <w:bCs/>
          <w:sz w:val="20"/>
          <w:szCs w:val="20"/>
        </w:rPr>
      </w:pPr>
      <w:r w:rsidRPr="00224143">
        <w:rPr>
          <w:rFonts w:ascii="Titillium" w:hAnsi="Titillium"/>
          <w:bCs/>
          <w:sz w:val="20"/>
          <w:szCs w:val="20"/>
        </w:rPr>
        <w:t>Javni naručitelj može pozvati ponuditelja da nadopuni ili objasni dokumente zaprimljene sukladno ovoj Dokumentacije o nabavi, ukoliko su ispunjeni uvjeti iz članka 293. ZJN 2016.</w:t>
      </w:r>
    </w:p>
    <w:p w14:paraId="7284D5E1" w14:textId="77777777" w:rsidR="003A2B35" w:rsidRPr="00224143" w:rsidRDefault="003A2B35" w:rsidP="00CD70E6">
      <w:pPr>
        <w:pStyle w:val="NoSpacing"/>
        <w:jc w:val="both"/>
        <w:rPr>
          <w:rFonts w:ascii="Titillium" w:hAnsi="Titillium"/>
          <w:bCs/>
          <w:sz w:val="20"/>
          <w:szCs w:val="20"/>
        </w:rPr>
      </w:pPr>
    </w:p>
    <w:p w14:paraId="6D0E1857" w14:textId="77777777" w:rsidR="00DC32D9" w:rsidRPr="00224143" w:rsidRDefault="00DC32D9" w:rsidP="00DC32D9">
      <w:pPr>
        <w:pStyle w:val="NoSpacing"/>
        <w:rPr>
          <w:rFonts w:ascii="Titillium" w:hAnsi="Titillium"/>
          <w:bCs/>
          <w:sz w:val="20"/>
          <w:szCs w:val="20"/>
        </w:rPr>
      </w:pPr>
    </w:p>
    <w:p w14:paraId="50C8A855" w14:textId="77777777" w:rsidR="00DC32D9" w:rsidRPr="00224143" w:rsidRDefault="00DC32D9" w:rsidP="00F974A0">
      <w:pPr>
        <w:pStyle w:val="NoSpacing"/>
        <w:ind w:firstLine="708"/>
        <w:rPr>
          <w:rFonts w:ascii="Titillium" w:hAnsi="Titillium"/>
          <w:b/>
          <w:bCs/>
          <w:sz w:val="20"/>
          <w:szCs w:val="20"/>
          <w:u w:val="single"/>
        </w:rPr>
      </w:pPr>
      <w:r w:rsidRPr="00224143">
        <w:rPr>
          <w:rFonts w:ascii="Titillium" w:hAnsi="Titillium"/>
          <w:b/>
          <w:bCs/>
          <w:sz w:val="20"/>
          <w:szCs w:val="20"/>
        </w:rPr>
        <w:t xml:space="preserve">5. </w:t>
      </w:r>
      <w:r w:rsidRPr="00224143">
        <w:rPr>
          <w:rFonts w:ascii="Titillium" w:hAnsi="Titillium"/>
          <w:b/>
          <w:bCs/>
          <w:sz w:val="20"/>
          <w:szCs w:val="20"/>
        </w:rPr>
        <w:tab/>
      </w:r>
      <w:bookmarkStart w:id="13" w:name="_Toc504410305"/>
      <w:r w:rsidRPr="00224143">
        <w:rPr>
          <w:rFonts w:ascii="Titillium" w:hAnsi="Titillium"/>
          <w:b/>
          <w:bCs/>
          <w:sz w:val="20"/>
          <w:szCs w:val="20"/>
          <w:u w:val="single"/>
        </w:rPr>
        <w:t>EUROPSKA JEDINSTVENA DOKUMENTACIJA O NABAVI (ESPD)</w:t>
      </w:r>
      <w:bookmarkEnd w:id="13"/>
    </w:p>
    <w:p w14:paraId="088C19CC" w14:textId="77777777" w:rsidR="00224143" w:rsidRPr="00224143" w:rsidRDefault="00224143" w:rsidP="005C0079">
      <w:pPr>
        <w:spacing w:after="0" w:line="240" w:lineRule="auto"/>
        <w:jc w:val="both"/>
        <w:rPr>
          <w:rFonts w:ascii="Calibri Light" w:hAnsi="Calibri Light" w:cs="Tahoma"/>
          <w:sz w:val="20"/>
          <w:szCs w:val="20"/>
        </w:rPr>
      </w:pPr>
    </w:p>
    <w:p w14:paraId="01C6593E" w14:textId="77777777" w:rsidR="00224143" w:rsidRPr="00224143" w:rsidRDefault="00224143" w:rsidP="00224143">
      <w:pPr>
        <w:spacing w:after="0" w:line="240" w:lineRule="auto"/>
        <w:jc w:val="both"/>
        <w:rPr>
          <w:rFonts w:ascii="Titillium" w:hAnsi="Titillium" w:cs="Tahoma"/>
          <w:sz w:val="20"/>
          <w:szCs w:val="20"/>
        </w:rPr>
      </w:pPr>
    </w:p>
    <w:p w14:paraId="691E1388" w14:textId="77777777" w:rsidR="00224143" w:rsidRPr="00224143" w:rsidRDefault="00224143" w:rsidP="00224143">
      <w:pPr>
        <w:pStyle w:val="Standard"/>
        <w:jc w:val="both"/>
        <w:rPr>
          <w:rFonts w:ascii="Titillium" w:hAnsi="Titillium" w:cs="Times New Roman"/>
          <w:sz w:val="20"/>
          <w:szCs w:val="20"/>
        </w:rPr>
      </w:pPr>
      <w:r w:rsidRPr="00224143">
        <w:rPr>
          <w:rFonts w:ascii="Titillium" w:hAnsi="Titillium" w:cs="Times New Roman"/>
          <w:sz w:val="20"/>
          <w:szCs w:val="20"/>
        </w:rPr>
        <w:t>Gospodarski subjekt je obavezan u ponudi dostaviti ESPD kao preliminarni dokaz da ispunjava tražene kriterije za kvalitativni odabir gospodarskog subjekta, a Naručitelj sukladno članku 262. ZJN 2016 ima pravo u bilo kojem trenutku tijekom postupka provjeriti informacije navedene u ESPD. ESPD je ažurirana formalna izjava gospodarskog subjekta, koja služi kao preliminarni dokaz umjesto potvrda koje izdaju tijela javne vlasti ili treće strane, a kojima se potvrđuje da taj gospodarski subjekt:</w:t>
      </w:r>
    </w:p>
    <w:p w14:paraId="41E03188" w14:textId="77777777" w:rsidR="00224143" w:rsidRPr="00224143" w:rsidRDefault="00224143" w:rsidP="00224143">
      <w:pPr>
        <w:pStyle w:val="Standard"/>
        <w:ind w:firstLine="426"/>
        <w:jc w:val="both"/>
        <w:rPr>
          <w:rFonts w:ascii="Titillium" w:hAnsi="Titillium" w:cs="Times New Roman"/>
          <w:sz w:val="20"/>
          <w:szCs w:val="20"/>
        </w:rPr>
      </w:pPr>
      <w:r w:rsidRPr="00224143">
        <w:rPr>
          <w:rFonts w:ascii="Titillium" w:hAnsi="Titillium" w:cs="Times New Roman"/>
          <w:sz w:val="20"/>
          <w:szCs w:val="20"/>
        </w:rPr>
        <w:t>1.</w:t>
      </w:r>
      <w:r w:rsidRPr="00224143">
        <w:rPr>
          <w:rFonts w:ascii="Titillium" w:hAnsi="Titillium" w:cs="Times New Roman"/>
          <w:sz w:val="20"/>
          <w:szCs w:val="20"/>
        </w:rPr>
        <w:tab/>
        <w:t xml:space="preserve">nije u jednoj od situacija zbog koje se gospodarski subjekt isključuje ili može isključiti iz postupka javne nabave (osnove za isključenje definirane točkama 3.1.,3.2. i 3.3. dokumentacije) te da </w:t>
      </w:r>
    </w:p>
    <w:p w14:paraId="50D9022D" w14:textId="77777777" w:rsidR="00224143" w:rsidRPr="00224143" w:rsidRDefault="00224143" w:rsidP="00224143">
      <w:pPr>
        <w:pStyle w:val="Standard"/>
        <w:ind w:firstLine="426"/>
        <w:jc w:val="both"/>
        <w:rPr>
          <w:rFonts w:ascii="Titillium" w:hAnsi="Titillium" w:cs="Times New Roman"/>
          <w:sz w:val="20"/>
          <w:szCs w:val="20"/>
        </w:rPr>
      </w:pPr>
      <w:r w:rsidRPr="00224143">
        <w:rPr>
          <w:rFonts w:ascii="Titillium" w:hAnsi="Titillium" w:cs="Times New Roman"/>
          <w:sz w:val="20"/>
          <w:szCs w:val="20"/>
        </w:rPr>
        <w:t>2.</w:t>
      </w:r>
      <w:r w:rsidRPr="00224143">
        <w:rPr>
          <w:rFonts w:ascii="Titillium" w:hAnsi="Titillium" w:cs="Times New Roman"/>
          <w:sz w:val="20"/>
          <w:szCs w:val="20"/>
        </w:rPr>
        <w:tab/>
        <w:t>ispunjava tražene kriterije za odabir gospodarskog subjekta (uvjete sposobnosti definirane točkama 4.1. i 4.2.  dokumentacije).</w:t>
      </w:r>
    </w:p>
    <w:p w14:paraId="30355509" w14:textId="77777777" w:rsidR="00224143" w:rsidRPr="00224143" w:rsidRDefault="00224143" w:rsidP="00224143">
      <w:pPr>
        <w:pStyle w:val="Standard"/>
        <w:ind w:firstLine="426"/>
        <w:jc w:val="both"/>
        <w:rPr>
          <w:rFonts w:ascii="Titillium" w:hAnsi="Titillium" w:cs="Times New Roman"/>
          <w:sz w:val="20"/>
          <w:szCs w:val="20"/>
        </w:rPr>
      </w:pPr>
    </w:p>
    <w:p w14:paraId="090C0833" w14:textId="65851155" w:rsidR="00224143" w:rsidRPr="00224143" w:rsidRDefault="00224143" w:rsidP="00224143">
      <w:pPr>
        <w:pStyle w:val="Heading1"/>
        <w:jc w:val="left"/>
        <w:rPr>
          <w:rFonts w:ascii="Titillium" w:hAnsi="Titillium"/>
        </w:rPr>
      </w:pPr>
      <w:bookmarkStart w:id="14" w:name="_Toc518923146"/>
      <w:r w:rsidRPr="00224143">
        <w:rPr>
          <w:rFonts w:ascii="Titillium" w:hAnsi="Titillium"/>
        </w:rPr>
        <w:t xml:space="preserve">5.1. </w:t>
      </w:r>
      <w:proofErr w:type="spellStart"/>
      <w:r w:rsidRPr="00224143">
        <w:rPr>
          <w:rFonts w:ascii="Titillium" w:hAnsi="Titillium"/>
        </w:rPr>
        <w:t>Upute</w:t>
      </w:r>
      <w:proofErr w:type="spellEnd"/>
      <w:r w:rsidRPr="00224143">
        <w:rPr>
          <w:rFonts w:ascii="Titillium" w:hAnsi="Titillium"/>
        </w:rPr>
        <w:t xml:space="preserve"> </w:t>
      </w:r>
      <w:proofErr w:type="spellStart"/>
      <w:r w:rsidRPr="00224143">
        <w:rPr>
          <w:rFonts w:ascii="Titillium" w:hAnsi="Titillium"/>
        </w:rPr>
        <w:t>za</w:t>
      </w:r>
      <w:proofErr w:type="spellEnd"/>
      <w:r w:rsidRPr="00224143">
        <w:rPr>
          <w:rFonts w:ascii="Titillium" w:hAnsi="Titillium"/>
        </w:rPr>
        <w:t xml:space="preserve"> </w:t>
      </w:r>
      <w:proofErr w:type="spellStart"/>
      <w:r w:rsidRPr="00224143">
        <w:rPr>
          <w:rFonts w:ascii="Titillium" w:hAnsi="Titillium"/>
        </w:rPr>
        <w:t>popunjavanje</w:t>
      </w:r>
      <w:proofErr w:type="spellEnd"/>
      <w:r w:rsidRPr="00224143">
        <w:rPr>
          <w:rFonts w:ascii="Titillium" w:hAnsi="Titillium"/>
        </w:rPr>
        <w:t xml:space="preserve"> ESPD </w:t>
      </w:r>
      <w:proofErr w:type="spellStart"/>
      <w:r w:rsidRPr="00224143">
        <w:rPr>
          <w:rFonts w:ascii="Titillium" w:hAnsi="Titillium"/>
        </w:rPr>
        <w:t>obrasca</w:t>
      </w:r>
      <w:bookmarkEnd w:id="14"/>
      <w:proofErr w:type="spellEnd"/>
    </w:p>
    <w:p w14:paraId="2DA33C68" w14:textId="77777777" w:rsidR="00224143" w:rsidRPr="00224143" w:rsidRDefault="00224143" w:rsidP="00224143">
      <w:pPr>
        <w:spacing w:after="0" w:line="240" w:lineRule="auto"/>
        <w:ind w:left="360" w:right="139"/>
        <w:jc w:val="both"/>
        <w:rPr>
          <w:rFonts w:ascii="Titillium" w:hAnsi="Titillium"/>
          <w:b/>
          <w:sz w:val="20"/>
          <w:szCs w:val="20"/>
        </w:rPr>
      </w:pPr>
    </w:p>
    <w:p w14:paraId="6A513E3E"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Naručitelj je na temelju podataka iz ove dokumentacije o nabavi kroz sustav EOJN kreirao elektroničku verziju ESPD obrasca u .</w:t>
      </w:r>
      <w:proofErr w:type="spellStart"/>
      <w:r w:rsidRPr="00224143">
        <w:rPr>
          <w:rFonts w:ascii="Titillium" w:hAnsi="Titillium"/>
          <w:sz w:val="20"/>
          <w:szCs w:val="20"/>
        </w:rPr>
        <w:t>xml</w:t>
      </w:r>
      <w:proofErr w:type="spellEnd"/>
      <w:r w:rsidRPr="00224143">
        <w:rPr>
          <w:rFonts w:ascii="Titillium" w:hAnsi="Titillium"/>
          <w:sz w:val="20"/>
          <w:szCs w:val="20"/>
        </w:rPr>
        <w:t>. formatu - e-</w:t>
      </w:r>
      <w:r w:rsidRPr="00224143">
        <w:rPr>
          <w:rFonts w:ascii="Titillium" w:hAnsi="Titillium"/>
          <w:b/>
          <w:sz w:val="20"/>
          <w:szCs w:val="20"/>
        </w:rPr>
        <w:t>ESPD zahtjev</w:t>
      </w:r>
      <w:r w:rsidRPr="00224143">
        <w:rPr>
          <w:rFonts w:ascii="Titillium" w:hAnsi="Titillium"/>
          <w:sz w:val="20"/>
          <w:szCs w:val="20"/>
        </w:rPr>
        <w:t xml:space="preserve"> u koji je upisao osnovne podatke i definirao tražene dokaze te je kreirani </w:t>
      </w:r>
      <w:r w:rsidRPr="00224143">
        <w:rPr>
          <w:rFonts w:ascii="Titillium" w:hAnsi="Titillium"/>
          <w:b/>
          <w:sz w:val="20"/>
          <w:szCs w:val="20"/>
        </w:rPr>
        <w:t xml:space="preserve">e-ESPD zahtjev </w:t>
      </w:r>
      <w:r w:rsidRPr="00224143">
        <w:rPr>
          <w:rFonts w:ascii="Titillium" w:hAnsi="Titillium"/>
          <w:sz w:val="20"/>
          <w:szCs w:val="20"/>
        </w:rPr>
        <w:t>(</w:t>
      </w:r>
      <w:proofErr w:type="spellStart"/>
      <w:r w:rsidRPr="00224143">
        <w:rPr>
          <w:rFonts w:ascii="Titillium" w:hAnsi="Titillium"/>
          <w:sz w:val="20"/>
          <w:szCs w:val="20"/>
        </w:rPr>
        <w:t>u.xml</w:t>
      </w:r>
      <w:proofErr w:type="spellEnd"/>
      <w:r w:rsidRPr="00224143">
        <w:rPr>
          <w:rFonts w:ascii="Titillium" w:hAnsi="Titillium"/>
          <w:sz w:val="20"/>
          <w:szCs w:val="20"/>
        </w:rPr>
        <w:t xml:space="preserve"> i .</w:t>
      </w:r>
      <w:proofErr w:type="spellStart"/>
      <w:r w:rsidRPr="00224143">
        <w:rPr>
          <w:rFonts w:ascii="Titillium" w:hAnsi="Titillium"/>
          <w:sz w:val="20"/>
          <w:szCs w:val="20"/>
        </w:rPr>
        <w:t>pdf</w:t>
      </w:r>
      <w:proofErr w:type="spellEnd"/>
      <w:r w:rsidRPr="00224143">
        <w:rPr>
          <w:rFonts w:ascii="Titillium" w:hAnsi="Titillium"/>
          <w:sz w:val="20"/>
          <w:szCs w:val="20"/>
        </w:rPr>
        <w:t xml:space="preserve"> formatu)</w:t>
      </w:r>
      <w:r w:rsidRPr="00224143">
        <w:rPr>
          <w:rFonts w:ascii="Titillium" w:hAnsi="Titillium"/>
          <w:b/>
          <w:sz w:val="20"/>
          <w:szCs w:val="20"/>
        </w:rPr>
        <w:t xml:space="preserve"> </w:t>
      </w:r>
      <w:r w:rsidRPr="00224143">
        <w:rPr>
          <w:rFonts w:ascii="Titillium" w:hAnsi="Titillium"/>
          <w:sz w:val="20"/>
          <w:szCs w:val="20"/>
        </w:rPr>
        <w:t xml:space="preserve"> priložio ovoj dokumentaciji o nabavi.</w:t>
      </w:r>
    </w:p>
    <w:p w14:paraId="49CDAFE8" w14:textId="77777777" w:rsidR="00224143" w:rsidRPr="00224143" w:rsidRDefault="00224143" w:rsidP="00224143">
      <w:pPr>
        <w:spacing w:after="0" w:line="240" w:lineRule="auto"/>
        <w:jc w:val="both"/>
        <w:rPr>
          <w:rFonts w:ascii="Titillium" w:hAnsi="Titillium"/>
          <w:sz w:val="20"/>
          <w:szCs w:val="20"/>
        </w:rPr>
      </w:pPr>
    </w:p>
    <w:p w14:paraId="72E239E2"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 xml:space="preserve">Gospodarski subjekt obvezni su u e-ESPD obrascu ( </w:t>
      </w:r>
      <w:proofErr w:type="spellStart"/>
      <w:r w:rsidRPr="00224143">
        <w:rPr>
          <w:rFonts w:ascii="Titillium" w:hAnsi="Titillium"/>
          <w:sz w:val="20"/>
          <w:szCs w:val="20"/>
        </w:rPr>
        <w:t>u.xml</w:t>
      </w:r>
      <w:proofErr w:type="spellEnd"/>
      <w:r w:rsidRPr="00224143">
        <w:rPr>
          <w:rFonts w:ascii="Titillium" w:hAnsi="Titillium"/>
          <w:sz w:val="20"/>
          <w:szCs w:val="20"/>
        </w:rPr>
        <w:t xml:space="preserve"> formatu)  izraditi i dostaviti svoje odgovore sukladno definiranim zahtjevima Naručitelja. </w:t>
      </w:r>
    </w:p>
    <w:p w14:paraId="6BD394CD" w14:textId="77777777" w:rsidR="00224143" w:rsidRPr="00224143" w:rsidRDefault="00224143" w:rsidP="00224143">
      <w:pPr>
        <w:spacing w:after="0" w:line="240" w:lineRule="auto"/>
        <w:jc w:val="both"/>
        <w:rPr>
          <w:rFonts w:ascii="Titillium" w:hAnsi="Titillium"/>
          <w:sz w:val="20"/>
          <w:szCs w:val="20"/>
        </w:rPr>
      </w:pPr>
    </w:p>
    <w:p w14:paraId="2F00667F"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 xml:space="preserve">Gospodarski subjekti ispunjavaju </w:t>
      </w:r>
      <w:proofErr w:type="spellStart"/>
      <w:r w:rsidRPr="00224143">
        <w:rPr>
          <w:rFonts w:ascii="Titillium" w:hAnsi="Titillium"/>
          <w:sz w:val="20"/>
          <w:szCs w:val="20"/>
        </w:rPr>
        <w:t>eESPD</w:t>
      </w:r>
      <w:proofErr w:type="spellEnd"/>
      <w:r w:rsidRPr="00224143">
        <w:rPr>
          <w:rFonts w:ascii="Titillium" w:hAnsi="Titillium"/>
          <w:sz w:val="20"/>
          <w:szCs w:val="20"/>
        </w:rPr>
        <w:t xml:space="preserve"> obrazac u poljima koja je Naručitelj označio s „</w:t>
      </w:r>
      <w:r w:rsidRPr="00224143">
        <w:rPr>
          <w:rFonts w:ascii="Titillium" w:hAnsi="Titillium"/>
          <w:i/>
          <w:sz w:val="20"/>
          <w:szCs w:val="20"/>
        </w:rPr>
        <w:t>informacija se traži</w:t>
      </w:r>
      <w:r w:rsidRPr="00224143">
        <w:rPr>
          <w:rFonts w:ascii="Titillium" w:hAnsi="Titillium"/>
          <w:sz w:val="20"/>
          <w:szCs w:val="20"/>
        </w:rPr>
        <w:t>“.</w:t>
      </w:r>
    </w:p>
    <w:p w14:paraId="7DED99F0" w14:textId="77777777" w:rsidR="00224143" w:rsidRPr="00224143" w:rsidRDefault="00224143" w:rsidP="00224143">
      <w:pPr>
        <w:spacing w:after="0" w:line="240" w:lineRule="auto"/>
        <w:jc w:val="both"/>
        <w:rPr>
          <w:rFonts w:ascii="Titillium" w:hAnsi="Titillium"/>
          <w:b/>
          <w:sz w:val="20"/>
          <w:szCs w:val="20"/>
        </w:rPr>
      </w:pPr>
    </w:p>
    <w:p w14:paraId="1F3780DA" w14:textId="77777777" w:rsidR="00224143" w:rsidRPr="00224143" w:rsidRDefault="00224143" w:rsidP="00224143">
      <w:pPr>
        <w:spacing w:after="0" w:line="240" w:lineRule="auto"/>
        <w:jc w:val="both"/>
        <w:rPr>
          <w:rFonts w:ascii="Titillium" w:hAnsi="Titillium"/>
          <w:b/>
          <w:sz w:val="20"/>
          <w:szCs w:val="20"/>
        </w:rPr>
      </w:pPr>
      <w:r w:rsidRPr="00224143">
        <w:rPr>
          <w:rFonts w:ascii="Titillium" w:hAnsi="Titillium"/>
          <w:b/>
          <w:sz w:val="20"/>
          <w:szCs w:val="20"/>
        </w:rPr>
        <w:t>Upute za preuzimanje e-ESPD zahtjeva te kreiranje e-ESPD odgovora</w:t>
      </w:r>
    </w:p>
    <w:p w14:paraId="2F56FDFE" w14:textId="77777777" w:rsidR="00224143" w:rsidRPr="00224143" w:rsidRDefault="00224143" w:rsidP="00224143">
      <w:pPr>
        <w:spacing w:after="0" w:line="240" w:lineRule="auto"/>
        <w:jc w:val="both"/>
        <w:rPr>
          <w:rFonts w:ascii="Titillium" w:hAnsi="Titillium"/>
          <w:b/>
          <w:sz w:val="20"/>
          <w:szCs w:val="20"/>
        </w:rPr>
      </w:pPr>
    </w:p>
    <w:p w14:paraId="375AC819"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b/>
          <w:sz w:val="20"/>
          <w:szCs w:val="20"/>
        </w:rPr>
        <w:t>e-ESPD zahtjev</w:t>
      </w:r>
      <w:r w:rsidRPr="00224143">
        <w:rPr>
          <w:rFonts w:ascii="Titillium" w:hAnsi="Titillium"/>
          <w:sz w:val="20"/>
          <w:szCs w:val="20"/>
        </w:rPr>
        <w:t xml:space="preserve"> naručitelja gospodarski subjekti preuzimaju </w:t>
      </w:r>
      <w:r w:rsidRPr="00224143">
        <w:rPr>
          <w:rFonts w:ascii="Titillium" w:hAnsi="Titillium"/>
          <w:b/>
          <w:sz w:val="20"/>
          <w:szCs w:val="20"/>
        </w:rPr>
        <w:t>u .</w:t>
      </w:r>
      <w:proofErr w:type="spellStart"/>
      <w:r w:rsidRPr="00224143">
        <w:rPr>
          <w:rFonts w:ascii="Titillium" w:hAnsi="Titillium"/>
          <w:b/>
          <w:sz w:val="20"/>
          <w:szCs w:val="20"/>
        </w:rPr>
        <w:t>xml</w:t>
      </w:r>
      <w:proofErr w:type="spellEnd"/>
      <w:r w:rsidRPr="00224143">
        <w:rPr>
          <w:rFonts w:ascii="Titillium" w:hAnsi="Titillium"/>
          <w:b/>
          <w:sz w:val="20"/>
          <w:szCs w:val="20"/>
        </w:rPr>
        <w:t xml:space="preserve"> formatu</w:t>
      </w:r>
      <w:r w:rsidRPr="00224143">
        <w:rPr>
          <w:rFonts w:ascii="Titillium" w:hAnsi="Titillium"/>
          <w:sz w:val="20"/>
          <w:szCs w:val="20"/>
        </w:rPr>
        <w:t xml:space="preserve"> na popisu objava kao dio dokumentacije o nabavi te kroz platformu EOJN RH kreira odgovor.</w:t>
      </w:r>
    </w:p>
    <w:p w14:paraId="30BB4438" w14:textId="77777777" w:rsidR="00224143" w:rsidRPr="00224143" w:rsidRDefault="00224143" w:rsidP="00224143">
      <w:pPr>
        <w:spacing w:after="0" w:line="240" w:lineRule="auto"/>
        <w:jc w:val="both"/>
        <w:rPr>
          <w:rFonts w:ascii="Titillium" w:hAnsi="Titillium"/>
          <w:sz w:val="20"/>
          <w:szCs w:val="20"/>
        </w:rPr>
      </w:pPr>
    </w:p>
    <w:p w14:paraId="1B34E9B8" w14:textId="77777777" w:rsidR="00224143" w:rsidRPr="00224143" w:rsidRDefault="00224143" w:rsidP="00224143">
      <w:pPr>
        <w:shd w:val="clear" w:color="auto" w:fill="FFFFFF"/>
        <w:spacing w:after="0" w:line="240" w:lineRule="auto"/>
        <w:rPr>
          <w:rFonts w:ascii="Titillium" w:hAnsi="Titillium"/>
          <w:sz w:val="20"/>
          <w:szCs w:val="20"/>
        </w:rPr>
      </w:pPr>
      <w:r w:rsidRPr="00224143">
        <w:rPr>
          <w:rFonts w:ascii="Titillium" w:hAnsi="Titillium"/>
          <w:b/>
          <w:bCs/>
          <w:sz w:val="20"/>
          <w:szCs w:val="20"/>
        </w:rPr>
        <w:t>Kreiranje e-ESPD</w:t>
      </w:r>
      <w:r w:rsidRPr="00224143">
        <w:rPr>
          <w:rFonts w:ascii="Courier New" w:hAnsi="Courier New" w:cs="Courier New"/>
          <w:b/>
          <w:bCs/>
          <w:sz w:val="20"/>
          <w:szCs w:val="20"/>
        </w:rPr>
        <w:t> </w:t>
      </w:r>
      <w:r w:rsidRPr="00224143">
        <w:rPr>
          <w:rFonts w:ascii="Titillium" w:hAnsi="Titillium"/>
          <w:b/>
          <w:bCs/>
          <w:sz w:val="20"/>
          <w:szCs w:val="20"/>
          <w:u w:val="single"/>
        </w:rPr>
        <w:t>odgovora</w:t>
      </w:r>
      <w:r w:rsidRPr="00224143">
        <w:rPr>
          <w:rFonts w:ascii="Courier New" w:hAnsi="Courier New" w:cs="Courier New"/>
          <w:b/>
          <w:bCs/>
          <w:sz w:val="20"/>
          <w:szCs w:val="20"/>
        </w:rPr>
        <w:t> </w:t>
      </w:r>
      <w:r w:rsidRPr="00224143">
        <w:rPr>
          <w:rFonts w:ascii="Titillium" w:hAnsi="Titillium"/>
          <w:b/>
          <w:bCs/>
          <w:sz w:val="20"/>
          <w:szCs w:val="20"/>
        </w:rPr>
        <w:t>u EOJN RH kroz modul ESPD:</w:t>
      </w:r>
    </w:p>
    <w:p w14:paraId="57F6F55C" w14:textId="77777777" w:rsidR="00224143" w:rsidRPr="00224143" w:rsidRDefault="00224143" w:rsidP="00224143">
      <w:pPr>
        <w:shd w:val="clear" w:color="auto" w:fill="FFFFFF"/>
        <w:spacing w:after="0" w:line="240" w:lineRule="auto"/>
        <w:rPr>
          <w:rFonts w:ascii="Titillium" w:hAnsi="Titillium"/>
          <w:sz w:val="20"/>
          <w:szCs w:val="20"/>
        </w:rPr>
      </w:pPr>
      <w:r w:rsidRPr="00224143">
        <w:rPr>
          <w:rFonts w:ascii="Titillium" w:hAnsi="Titillium"/>
          <w:sz w:val="20"/>
          <w:szCs w:val="20"/>
        </w:rPr>
        <w:t>U  izborniku "ESPD" odabire se "Moji ESPD"</w:t>
      </w:r>
    </w:p>
    <w:p w14:paraId="382FA922" w14:textId="77777777" w:rsidR="00224143" w:rsidRPr="00224143" w:rsidRDefault="00224143" w:rsidP="00224143">
      <w:pPr>
        <w:shd w:val="clear" w:color="auto" w:fill="FFFFFF"/>
        <w:spacing w:after="0" w:line="240" w:lineRule="auto"/>
        <w:rPr>
          <w:rFonts w:ascii="Titillium" w:hAnsi="Titillium"/>
          <w:sz w:val="20"/>
          <w:szCs w:val="20"/>
        </w:rPr>
      </w:pPr>
    </w:p>
    <w:p w14:paraId="1778479C" w14:textId="77777777" w:rsidR="00224143" w:rsidRPr="00224143" w:rsidRDefault="00224143" w:rsidP="00224143">
      <w:pPr>
        <w:shd w:val="clear" w:color="auto" w:fill="FFFFFF"/>
        <w:spacing w:after="0" w:line="240" w:lineRule="auto"/>
        <w:jc w:val="center"/>
        <w:rPr>
          <w:rFonts w:ascii="Titillium" w:hAnsi="Titillium"/>
          <w:sz w:val="20"/>
          <w:szCs w:val="20"/>
        </w:rPr>
      </w:pPr>
      <w:r w:rsidRPr="00224143">
        <w:rPr>
          <w:rFonts w:ascii="Titillium" w:hAnsi="Titillium"/>
          <w:noProof/>
          <w:sz w:val="20"/>
          <w:szCs w:val="20"/>
          <w:lang w:eastAsia="hr-HR"/>
        </w:rPr>
        <w:drawing>
          <wp:inline distT="0" distB="0" distL="0" distR="0" wp14:anchorId="438A9E55" wp14:editId="37E8EC4F">
            <wp:extent cx="2329180"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9180" cy="902335"/>
                    </a:xfrm>
                    <a:prstGeom prst="rect">
                      <a:avLst/>
                    </a:prstGeom>
                    <a:noFill/>
                  </pic:spPr>
                </pic:pic>
              </a:graphicData>
            </a:graphic>
          </wp:inline>
        </w:drawing>
      </w:r>
    </w:p>
    <w:p w14:paraId="7C5FDF5E" w14:textId="77777777" w:rsidR="00224143" w:rsidRPr="00224143" w:rsidRDefault="00224143" w:rsidP="00224143">
      <w:pPr>
        <w:shd w:val="clear" w:color="auto" w:fill="FFFFFF"/>
        <w:spacing w:after="0" w:line="240" w:lineRule="auto"/>
        <w:jc w:val="center"/>
        <w:rPr>
          <w:rFonts w:ascii="Titillium" w:hAnsi="Titillium"/>
          <w:sz w:val="20"/>
          <w:szCs w:val="20"/>
        </w:rPr>
      </w:pPr>
    </w:p>
    <w:p w14:paraId="05092618"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te odabrati  polje „Novi ESPD odgovor“</w:t>
      </w:r>
    </w:p>
    <w:p w14:paraId="4B070D75"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 xml:space="preserve"> </w:t>
      </w:r>
    </w:p>
    <w:p w14:paraId="689C17D2" w14:textId="77777777" w:rsidR="00224143" w:rsidRPr="00224143" w:rsidRDefault="00224143" w:rsidP="00224143">
      <w:pPr>
        <w:spacing w:after="0" w:line="240" w:lineRule="auto"/>
        <w:jc w:val="center"/>
        <w:rPr>
          <w:rFonts w:ascii="Titillium" w:hAnsi="Titillium"/>
          <w:sz w:val="20"/>
          <w:szCs w:val="20"/>
        </w:rPr>
      </w:pPr>
      <w:r w:rsidRPr="00224143">
        <w:rPr>
          <w:rFonts w:ascii="Titillium" w:hAnsi="Titillium"/>
          <w:noProof/>
          <w:sz w:val="20"/>
          <w:szCs w:val="20"/>
          <w:lang w:eastAsia="hr-HR"/>
        </w:rPr>
        <w:drawing>
          <wp:inline distT="0" distB="0" distL="0" distR="0" wp14:anchorId="7DBE6CD6" wp14:editId="0D623B4A">
            <wp:extent cx="3550657" cy="1337945"/>
            <wp:effectExtent l="0" t="0" r="0" b="0"/>
            <wp:docPr id="5" name="Picture 5" descr="https://s3.amazonaws.com/cdn.freshdesk.com/data/helpdesk/attachments/production/12025670303/original/mpptbubyakWR-4-u8BXH46xlNEW5JSukzQ.jpg?150833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cdn.freshdesk.com/data/helpdesk/attachments/production/12025670303/original/mpptbubyakWR-4-u8BXH46xlNEW5JSukzQ.jpg?15083313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48596" cy="1374850"/>
                    </a:xfrm>
                    <a:prstGeom prst="rect">
                      <a:avLst/>
                    </a:prstGeom>
                    <a:noFill/>
                    <a:ln>
                      <a:noFill/>
                    </a:ln>
                  </pic:spPr>
                </pic:pic>
              </a:graphicData>
            </a:graphic>
          </wp:inline>
        </w:drawing>
      </w:r>
    </w:p>
    <w:p w14:paraId="474AB6B8"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 xml:space="preserve">Učitati preuzeti ESPD zahtjev u </w:t>
      </w:r>
      <w:proofErr w:type="spellStart"/>
      <w:r w:rsidRPr="00224143">
        <w:rPr>
          <w:rFonts w:ascii="Titillium" w:hAnsi="Titillium"/>
          <w:sz w:val="20"/>
          <w:szCs w:val="20"/>
        </w:rPr>
        <w:t>xml</w:t>
      </w:r>
      <w:proofErr w:type="spellEnd"/>
      <w:r w:rsidRPr="00224143">
        <w:rPr>
          <w:rFonts w:ascii="Titillium" w:hAnsi="Titillium"/>
          <w:sz w:val="20"/>
          <w:szCs w:val="20"/>
        </w:rPr>
        <w:t xml:space="preserve"> formatu.</w:t>
      </w:r>
    </w:p>
    <w:p w14:paraId="18508C1C" w14:textId="77777777" w:rsidR="00224143" w:rsidRPr="00224143" w:rsidRDefault="00224143" w:rsidP="00224143">
      <w:pPr>
        <w:spacing w:after="0" w:line="240" w:lineRule="auto"/>
        <w:jc w:val="both"/>
        <w:rPr>
          <w:rFonts w:ascii="Titillium" w:hAnsi="Titillium"/>
          <w:sz w:val="20"/>
          <w:szCs w:val="20"/>
        </w:rPr>
      </w:pPr>
    </w:p>
    <w:p w14:paraId="651BCAC9"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 xml:space="preserve">Nakon učitavanja EOJN RH automatski ispisuje osnovne podatke o postupku, a gospodarski subjekt upisuje odgovore za tražene podatke koristeći navigaciju EOJN RH, („dalje“, „Spremi i dalje“ i „Natrag“). E-ESPD obrasca –odgovor generira se u </w:t>
      </w:r>
      <w:proofErr w:type="spellStart"/>
      <w:r w:rsidRPr="00224143">
        <w:rPr>
          <w:rFonts w:ascii="Titillium" w:hAnsi="Titillium"/>
          <w:sz w:val="20"/>
          <w:szCs w:val="20"/>
        </w:rPr>
        <w:t>pdf</w:t>
      </w:r>
      <w:proofErr w:type="spellEnd"/>
      <w:r w:rsidRPr="00224143">
        <w:rPr>
          <w:rFonts w:ascii="Titillium" w:hAnsi="Titillium"/>
          <w:sz w:val="20"/>
          <w:szCs w:val="20"/>
        </w:rPr>
        <w:t>. i .</w:t>
      </w:r>
      <w:proofErr w:type="spellStart"/>
      <w:r w:rsidRPr="00224143">
        <w:rPr>
          <w:rFonts w:ascii="Titillium" w:hAnsi="Titillium"/>
          <w:sz w:val="20"/>
          <w:szCs w:val="20"/>
        </w:rPr>
        <w:t>xml</w:t>
      </w:r>
      <w:proofErr w:type="spellEnd"/>
      <w:r w:rsidRPr="00224143">
        <w:rPr>
          <w:rFonts w:ascii="Titillium" w:hAnsi="Titillium"/>
          <w:sz w:val="20"/>
          <w:szCs w:val="20"/>
        </w:rPr>
        <w:t xml:space="preserve"> formatu. </w:t>
      </w:r>
    </w:p>
    <w:p w14:paraId="763F7F32" w14:textId="77777777" w:rsidR="00224143" w:rsidRPr="00224143" w:rsidRDefault="00224143" w:rsidP="00224143">
      <w:pPr>
        <w:spacing w:after="0" w:line="240" w:lineRule="auto"/>
        <w:jc w:val="both"/>
        <w:rPr>
          <w:rFonts w:ascii="Titillium" w:hAnsi="Titillium"/>
          <w:sz w:val="20"/>
          <w:szCs w:val="20"/>
        </w:rPr>
      </w:pPr>
    </w:p>
    <w:p w14:paraId="7CFF9CDE"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b/>
          <w:sz w:val="20"/>
          <w:szCs w:val="20"/>
        </w:rPr>
        <w:t xml:space="preserve">e-ESPD odgovor </w:t>
      </w:r>
      <w:r w:rsidRPr="00224143">
        <w:rPr>
          <w:rFonts w:ascii="Titillium" w:hAnsi="Titillium"/>
          <w:sz w:val="20"/>
          <w:szCs w:val="20"/>
        </w:rPr>
        <w:t xml:space="preserve"> generira se u </w:t>
      </w:r>
      <w:proofErr w:type="spellStart"/>
      <w:r w:rsidRPr="00224143">
        <w:rPr>
          <w:rFonts w:ascii="Titillium" w:hAnsi="Titillium"/>
          <w:sz w:val="20"/>
          <w:szCs w:val="20"/>
        </w:rPr>
        <w:t>pdf</w:t>
      </w:r>
      <w:proofErr w:type="spellEnd"/>
      <w:r w:rsidRPr="00224143">
        <w:rPr>
          <w:rFonts w:ascii="Titillium" w:hAnsi="Titillium"/>
          <w:sz w:val="20"/>
          <w:szCs w:val="20"/>
        </w:rPr>
        <w:t>. i .</w:t>
      </w:r>
      <w:proofErr w:type="spellStart"/>
      <w:r w:rsidRPr="00224143">
        <w:rPr>
          <w:rFonts w:ascii="Titillium" w:hAnsi="Titillium"/>
          <w:sz w:val="20"/>
          <w:szCs w:val="20"/>
        </w:rPr>
        <w:t>xml</w:t>
      </w:r>
      <w:proofErr w:type="spellEnd"/>
      <w:r w:rsidRPr="00224143">
        <w:rPr>
          <w:rFonts w:ascii="Titillium" w:hAnsi="Titillium"/>
          <w:sz w:val="20"/>
          <w:szCs w:val="20"/>
        </w:rPr>
        <w:t xml:space="preserve"> formatu te ga gospodarski subjekt preuzima u .</w:t>
      </w:r>
      <w:proofErr w:type="spellStart"/>
      <w:r w:rsidRPr="00224143">
        <w:rPr>
          <w:rFonts w:ascii="Titillium" w:hAnsi="Titillium"/>
          <w:sz w:val="20"/>
          <w:szCs w:val="20"/>
        </w:rPr>
        <w:t>zip</w:t>
      </w:r>
      <w:proofErr w:type="spellEnd"/>
      <w:r w:rsidRPr="00224143">
        <w:rPr>
          <w:rFonts w:ascii="Titillium" w:hAnsi="Titillium"/>
          <w:sz w:val="20"/>
          <w:szCs w:val="20"/>
        </w:rPr>
        <w:t xml:space="preserve"> datoteci na svoje računalo.</w:t>
      </w:r>
    </w:p>
    <w:p w14:paraId="7531ECA7" w14:textId="77777777" w:rsidR="00224143" w:rsidRPr="00224143" w:rsidRDefault="00224143" w:rsidP="00224143">
      <w:pPr>
        <w:spacing w:after="0" w:line="240" w:lineRule="auto"/>
        <w:jc w:val="both"/>
        <w:rPr>
          <w:rFonts w:ascii="Titillium" w:hAnsi="Titillium"/>
          <w:sz w:val="20"/>
          <w:szCs w:val="20"/>
        </w:rPr>
      </w:pPr>
    </w:p>
    <w:p w14:paraId="1750B430"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U trenutku predaje ponude elektroničke ponude gospodarski subjekt  prilaže generirani e-ESPD obrazac – odgovor  u .</w:t>
      </w:r>
      <w:proofErr w:type="spellStart"/>
      <w:r w:rsidRPr="00224143">
        <w:rPr>
          <w:rFonts w:ascii="Titillium" w:hAnsi="Titillium"/>
          <w:sz w:val="20"/>
          <w:szCs w:val="20"/>
        </w:rPr>
        <w:t>xml</w:t>
      </w:r>
      <w:proofErr w:type="spellEnd"/>
      <w:r w:rsidRPr="00224143">
        <w:rPr>
          <w:rFonts w:ascii="Titillium" w:hAnsi="Titillium"/>
          <w:sz w:val="20"/>
          <w:szCs w:val="20"/>
        </w:rPr>
        <w:t xml:space="preserve"> formatu.</w:t>
      </w:r>
    </w:p>
    <w:p w14:paraId="0E1D501C"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 xml:space="preserve"> </w:t>
      </w:r>
    </w:p>
    <w:p w14:paraId="1596FE44"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 xml:space="preserve">Osim popunjavanja e-ESPD obrasca kroz platformu EOJN RH, gospodarski subjekt može dostaviti e-ESPD obrazac ispunjen kroz servis za elektroničko popunjavanje ESPD-a </w:t>
      </w:r>
      <w:r w:rsidRPr="00224143">
        <w:rPr>
          <w:rFonts w:ascii="Titillium" w:hAnsi="Titillium"/>
          <w:b/>
          <w:sz w:val="20"/>
          <w:szCs w:val="20"/>
        </w:rPr>
        <w:t>(.</w:t>
      </w:r>
      <w:proofErr w:type="spellStart"/>
      <w:r w:rsidRPr="00224143">
        <w:rPr>
          <w:rFonts w:ascii="Titillium" w:hAnsi="Titillium"/>
          <w:b/>
          <w:sz w:val="20"/>
          <w:szCs w:val="20"/>
        </w:rPr>
        <w:t>xml</w:t>
      </w:r>
      <w:proofErr w:type="spellEnd"/>
      <w:r w:rsidRPr="00224143">
        <w:rPr>
          <w:rFonts w:ascii="Titillium" w:hAnsi="Titillium"/>
          <w:b/>
          <w:sz w:val="20"/>
          <w:szCs w:val="20"/>
        </w:rPr>
        <w:t xml:space="preserve"> format</w:t>
      </w:r>
      <w:r w:rsidRPr="00224143">
        <w:rPr>
          <w:rFonts w:ascii="Titillium" w:hAnsi="Titillium"/>
          <w:sz w:val="20"/>
          <w:szCs w:val="20"/>
        </w:rPr>
        <w:t>) Europske komisije koji je dostupan na internetskoj adresi:</w:t>
      </w:r>
    </w:p>
    <w:p w14:paraId="5CA5441A" w14:textId="77777777" w:rsidR="00224143" w:rsidRPr="00224143" w:rsidRDefault="00224143" w:rsidP="00224143">
      <w:pPr>
        <w:spacing w:after="0" w:line="240" w:lineRule="auto"/>
        <w:jc w:val="both"/>
        <w:rPr>
          <w:rFonts w:ascii="Titillium" w:hAnsi="Titillium"/>
          <w:sz w:val="20"/>
          <w:szCs w:val="20"/>
        </w:rPr>
      </w:pPr>
      <w:r w:rsidRPr="00224143">
        <w:rPr>
          <w:rFonts w:ascii="Titillium" w:hAnsi="Titillium"/>
          <w:sz w:val="20"/>
          <w:szCs w:val="20"/>
        </w:rPr>
        <w:t xml:space="preserve">        </w:t>
      </w:r>
    </w:p>
    <w:p w14:paraId="4B328BA3" w14:textId="77777777" w:rsidR="00224143" w:rsidRPr="00224143" w:rsidRDefault="001545ED" w:rsidP="00224143">
      <w:pPr>
        <w:spacing w:after="0" w:line="240" w:lineRule="auto"/>
        <w:jc w:val="center"/>
        <w:rPr>
          <w:rFonts w:ascii="Titillium" w:hAnsi="Titillium"/>
          <w:sz w:val="20"/>
          <w:szCs w:val="20"/>
        </w:rPr>
      </w:pPr>
      <w:hyperlink r:id="rId21" w:history="1">
        <w:r w:rsidR="00224143" w:rsidRPr="00224143">
          <w:rPr>
            <w:rStyle w:val="Hyperlink"/>
            <w:rFonts w:ascii="Titillium" w:hAnsi="Titillium"/>
            <w:sz w:val="20"/>
            <w:szCs w:val="20"/>
          </w:rPr>
          <w:t>https://ec.europa.eu/growth/tools-databases/espd/filter?lang=hr</w:t>
        </w:r>
      </w:hyperlink>
    </w:p>
    <w:p w14:paraId="6D23BF28" w14:textId="77777777" w:rsidR="00224143" w:rsidRPr="00224143" w:rsidRDefault="00224143" w:rsidP="00224143">
      <w:pPr>
        <w:spacing w:after="0" w:line="240" w:lineRule="auto"/>
        <w:jc w:val="both"/>
        <w:rPr>
          <w:rFonts w:ascii="Titillium" w:hAnsi="Titillium"/>
          <w:sz w:val="20"/>
          <w:szCs w:val="20"/>
        </w:rPr>
      </w:pPr>
    </w:p>
    <w:p w14:paraId="0F6964A9" w14:textId="77777777" w:rsidR="00224143" w:rsidRPr="00224143" w:rsidRDefault="00224143" w:rsidP="00224143">
      <w:pPr>
        <w:spacing w:after="0" w:line="240" w:lineRule="auto"/>
        <w:jc w:val="both"/>
        <w:rPr>
          <w:rFonts w:ascii="Titillium" w:hAnsi="Titillium"/>
          <w:b/>
          <w:sz w:val="20"/>
          <w:szCs w:val="20"/>
        </w:rPr>
      </w:pPr>
    </w:p>
    <w:p w14:paraId="594755EC" w14:textId="77777777" w:rsidR="00224143" w:rsidRPr="00224143" w:rsidRDefault="00224143" w:rsidP="00224143">
      <w:pPr>
        <w:spacing w:after="0" w:line="240" w:lineRule="auto"/>
        <w:jc w:val="both"/>
        <w:rPr>
          <w:rFonts w:ascii="Titillium" w:hAnsi="Titillium"/>
          <w:b/>
          <w:sz w:val="20"/>
          <w:szCs w:val="20"/>
        </w:rPr>
      </w:pPr>
      <w:r w:rsidRPr="00224143">
        <w:rPr>
          <w:rFonts w:ascii="Titillium" w:hAnsi="Titillium"/>
          <w:b/>
          <w:sz w:val="20"/>
          <w:szCs w:val="20"/>
        </w:rPr>
        <w:t xml:space="preserve">Gospodarski subjekt koji samostalno podnosi ponudu, nema </w:t>
      </w:r>
      <w:proofErr w:type="spellStart"/>
      <w:r w:rsidRPr="00224143">
        <w:rPr>
          <w:rFonts w:ascii="Titillium" w:hAnsi="Titillium"/>
          <w:b/>
          <w:sz w:val="20"/>
          <w:szCs w:val="20"/>
        </w:rPr>
        <w:t>podugovaratelja</w:t>
      </w:r>
      <w:proofErr w:type="spellEnd"/>
      <w:r w:rsidRPr="00224143">
        <w:rPr>
          <w:rFonts w:ascii="Titillium" w:hAnsi="Titillium"/>
          <w:b/>
          <w:sz w:val="20"/>
          <w:szCs w:val="20"/>
        </w:rPr>
        <w:t xml:space="preserve"> i ne oslanja se na sposobnost drugih gospodarskih subjekata, u ponudi dostavlja ispunjen samo jedan ESPD obrazac.</w:t>
      </w:r>
    </w:p>
    <w:p w14:paraId="20B83739" w14:textId="77777777" w:rsidR="00224143" w:rsidRPr="00224143" w:rsidRDefault="00224143" w:rsidP="00224143">
      <w:pPr>
        <w:spacing w:after="0" w:line="240" w:lineRule="auto"/>
        <w:rPr>
          <w:rFonts w:ascii="Titillium" w:hAnsi="Titillium"/>
          <w:b/>
          <w:sz w:val="20"/>
          <w:szCs w:val="20"/>
        </w:rPr>
      </w:pPr>
    </w:p>
    <w:p w14:paraId="562B3C2E" w14:textId="77777777" w:rsidR="00224143" w:rsidRPr="00224143" w:rsidRDefault="00224143" w:rsidP="00224143">
      <w:pPr>
        <w:spacing w:after="0" w:line="240" w:lineRule="auto"/>
        <w:jc w:val="both"/>
        <w:rPr>
          <w:rFonts w:ascii="Titillium" w:hAnsi="Titillium"/>
          <w:b/>
          <w:sz w:val="20"/>
          <w:szCs w:val="20"/>
        </w:rPr>
      </w:pPr>
      <w:r w:rsidRPr="00224143">
        <w:rPr>
          <w:rFonts w:ascii="Titillium" w:hAnsi="Titillium"/>
          <w:b/>
          <w:sz w:val="20"/>
          <w:szCs w:val="20"/>
        </w:rPr>
        <w:t>Gospodarski subjekt koji samostalno podnosi ponudu, ali se oslanja na sposobnost drugih gospodarskih subjekata, u ponudi dostavlja ispunjen ESPD obrazac za sebe i zaseban ispunjen ESPD obrazac za svakog pojedinog gospodarskog subjekta na čiju se sposobnost oslanja (vidi Dio II., Odjeljak C ESPD obrasca).</w:t>
      </w:r>
    </w:p>
    <w:p w14:paraId="53B08C92" w14:textId="77777777" w:rsidR="00224143" w:rsidRPr="00224143" w:rsidRDefault="00224143" w:rsidP="00224143">
      <w:pPr>
        <w:spacing w:after="0" w:line="240" w:lineRule="auto"/>
        <w:jc w:val="both"/>
        <w:rPr>
          <w:rFonts w:ascii="Titillium" w:hAnsi="Titillium"/>
          <w:b/>
          <w:sz w:val="20"/>
          <w:szCs w:val="20"/>
        </w:rPr>
      </w:pPr>
    </w:p>
    <w:p w14:paraId="370DB167" w14:textId="77777777" w:rsidR="00224143" w:rsidRPr="00224143" w:rsidRDefault="00224143" w:rsidP="00224143">
      <w:pPr>
        <w:spacing w:after="0" w:line="240" w:lineRule="auto"/>
        <w:jc w:val="both"/>
        <w:rPr>
          <w:rFonts w:ascii="Titillium" w:hAnsi="Titillium"/>
          <w:b/>
          <w:sz w:val="20"/>
          <w:szCs w:val="20"/>
        </w:rPr>
      </w:pPr>
      <w:r w:rsidRPr="00224143">
        <w:rPr>
          <w:rFonts w:ascii="Titillium" w:hAnsi="Titillium"/>
          <w:b/>
          <w:sz w:val="20"/>
          <w:szCs w:val="20"/>
        </w:rPr>
        <w:t xml:space="preserve">Gospodarski subjekt koji namjerava dati bilo koji dio ugovora u podugovor trećim osobama, u ponudi dostavlja ispunjen ESPD obrazac za sebe i zaseban ispunjen ESPD obrazac za </w:t>
      </w:r>
      <w:proofErr w:type="spellStart"/>
      <w:r w:rsidRPr="00224143">
        <w:rPr>
          <w:rFonts w:ascii="Titillium" w:hAnsi="Titillium"/>
          <w:b/>
          <w:sz w:val="20"/>
          <w:szCs w:val="20"/>
        </w:rPr>
        <w:t>podugovaratelja</w:t>
      </w:r>
      <w:proofErr w:type="spellEnd"/>
      <w:r w:rsidRPr="00224143">
        <w:rPr>
          <w:rFonts w:ascii="Titillium" w:hAnsi="Titillium"/>
          <w:b/>
          <w:sz w:val="20"/>
          <w:szCs w:val="20"/>
        </w:rPr>
        <w:t xml:space="preserve"> na čiju se sposobnost ne oslanja (vidi Dio II., Odjeljak D ESPD obrasca).</w:t>
      </w:r>
    </w:p>
    <w:p w14:paraId="235B99A1" w14:textId="77777777" w:rsidR="00224143" w:rsidRPr="00224143" w:rsidRDefault="00224143" w:rsidP="00224143">
      <w:pPr>
        <w:spacing w:after="0" w:line="240" w:lineRule="auto"/>
        <w:jc w:val="both"/>
        <w:rPr>
          <w:rFonts w:ascii="Titillium" w:hAnsi="Titillium"/>
          <w:b/>
          <w:sz w:val="20"/>
          <w:szCs w:val="20"/>
        </w:rPr>
      </w:pPr>
    </w:p>
    <w:p w14:paraId="0C218DD5" w14:textId="77777777" w:rsidR="00224143" w:rsidRPr="00224143" w:rsidRDefault="00224143" w:rsidP="00224143">
      <w:pPr>
        <w:spacing w:after="0" w:line="240" w:lineRule="auto"/>
        <w:jc w:val="both"/>
        <w:rPr>
          <w:rFonts w:ascii="Titillium" w:hAnsi="Titillium"/>
          <w:b/>
          <w:sz w:val="20"/>
          <w:szCs w:val="20"/>
        </w:rPr>
      </w:pPr>
      <w:r w:rsidRPr="00224143">
        <w:rPr>
          <w:rFonts w:ascii="Titillium" w:hAnsi="Titillium"/>
          <w:b/>
          <w:sz w:val="20"/>
          <w:szCs w:val="20"/>
        </w:rPr>
        <w:t>U slučaju zajednice gospodarskih subjekata, svaki član zajednice gospodarskog subjekta mora dostaviti zaseban ESPD obrazac u kojem su utvrđeni relevantni podaci za svakog člana zajednice gospodarskog subjekta u skladu s zahtjevima ove Dokumentacije o nabavi.</w:t>
      </w:r>
    </w:p>
    <w:p w14:paraId="7E4ADDC5" w14:textId="77777777" w:rsidR="00224143" w:rsidRPr="00224143" w:rsidRDefault="00224143" w:rsidP="00224143">
      <w:pPr>
        <w:spacing w:after="0" w:line="240" w:lineRule="auto"/>
        <w:jc w:val="both"/>
        <w:rPr>
          <w:rFonts w:ascii="Titillium" w:hAnsi="Titillium"/>
          <w:b/>
          <w:sz w:val="20"/>
          <w:szCs w:val="20"/>
        </w:rPr>
      </w:pPr>
    </w:p>
    <w:p w14:paraId="192AD404" w14:textId="77777777" w:rsidR="00224143" w:rsidRPr="00224143" w:rsidRDefault="00224143" w:rsidP="00224143">
      <w:pPr>
        <w:spacing w:after="0" w:line="240" w:lineRule="auto"/>
        <w:jc w:val="both"/>
        <w:rPr>
          <w:rFonts w:ascii="Titillium" w:hAnsi="Titillium"/>
          <w:b/>
          <w:sz w:val="20"/>
          <w:szCs w:val="20"/>
        </w:rPr>
      </w:pPr>
      <w:r w:rsidRPr="00224143">
        <w:rPr>
          <w:rFonts w:ascii="Titillium" w:hAnsi="Titillium"/>
          <w:b/>
          <w:sz w:val="20"/>
          <w:szCs w:val="20"/>
        </w:rPr>
        <w:t xml:space="preserve">U slučaju </w:t>
      </w:r>
      <w:proofErr w:type="spellStart"/>
      <w:r w:rsidRPr="00224143">
        <w:rPr>
          <w:rFonts w:ascii="Titillium" w:hAnsi="Titillium"/>
          <w:b/>
          <w:sz w:val="20"/>
          <w:szCs w:val="20"/>
        </w:rPr>
        <w:t>podugovaratelja</w:t>
      </w:r>
      <w:proofErr w:type="spellEnd"/>
      <w:r w:rsidRPr="00224143">
        <w:rPr>
          <w:rFonts w:ascii="Titillium" w:hAnsi="Titillium"/>
          <w:b/>
          <w:sz w:val="20"/>
          <w:szCs w:val="20"/>
        </w:rPr>
        <w:t xml:space="preserve">, gospodarski subjekt mora dostaviti zaseban ESPD u kojem su navedeni relevantni podaci za </w:t>
      </w:r>
      <w:proofErr w:type="spellStart"/>
      <w:r w:rsidRPr="00224143">
        <w:rPr>
          <w:rFonts w:ascii="Titillium" w:hAnsi="Titillium"/>
          <w:b/>
          <w:sz w:val="20"/>
          <w:szCs w:val="20"/>
        </w:rPr>
        <w:t>podugovaratelja</w:t>
      </w:r>
      <w:proofErr w:type="spellEnd"/>
      <w:r w:rsidRPr="00224143">
        <w:rPr>
          <w:rFonts w:ascii="Titillium" w:hAnsi="Titillium"/>
          <w:b/>
          <w:sz w:val="20"/>
          <w:szCs w:val="20"/>
        </w:rPr>
        <w:t xml:space="preserve"> traženi ovom dokumentacijom o nabavi.</w:t>
      </w:r>
    </w:p>
    <w:p w14:paraId="1B146443" w14:textId="77777777" w:rsidR="00224143" w:rsidRPr="00224143" w:rsidRDefault="00224143" w:rsidP="00224143">
      <w:pPr>
        <w:spacing w:after="0" w:line="240" w:lineRule="auto"/>
        <w:jc w:val="both"/>
        <w:rPr>
          <w:rFonts w:ascii="Titillium" w:hAnsi="Titillium"/>
          <w:sz w:val="20"/>
          <w:szCs w:val="20"/>
        </w:rPr>
      </w:pPr>
    </w:p>
    <w:p w14:paraId="78572AC3" w14:textId="77777777" w:rsidR="00224143" w:rsidRPr="00224143" w:rsidRDefault="00224143" w:rsidP="00224143">
      <w:pPr>
        <w:spacing w:after="0" w:line="240" w:lineRule="auto"/>
        <w:jc w:val="both"/>
        <w:textAlignment w:val="baseline"/>
        <w:rPr>
          <w:rFonts w:ascii="Titillium" w:hAnsi="Titillium"/>
          <w:sz w:val="20"/>
          <w:szCs w:val="20"/>
        </w:rPr>
      </w:pPr>
      <w:r w:rsidRPr="00224143">
        <w:rPr>
          <w:rFonts w:ascii="Titillium" w:hAnsi="Titillium"/>
          <w:sz w:val="20"/>
          <w:szCs w:val="20"/>
        </w:rPr>
        <w:t>U ESPD obrascu se navode izdavatelji popratnih dokumenata te ona sadržava izjavu da će gospodarski subjekt moći, na zahtjev i bez odgode, Naručitelju dostaviti potvrde i druge oblike navedene dokazne dokumentacije.</w:t>
      </w:r>
    </w:p>
    <w:p w14:paraId="43108588" w14:textId="77777777" w:rsidR="00224143" w:rsidRPr="00224143" w:rsidRDefault="00224143" w:rsidP="00224143">
      <w:pPr>
        <w:spacing w:after="0" w:line="240" w:lineRule="auto"/>
        <w:jc w:val="both"/>
        <w:textAlignment w:val="baseline"/>
        <w:rPr>
          <w:rFonts w:ascii="Titillium" w:hAnsi="Titillium"/>
          <w:sz w:val="20"/>
          <w:szCs w:val="20"/>
        </w:rPr>
      </w:pPr>
    </w:p>
    <w:p w14:paraId="6BDF94A3" w14:textId="77777777" w:rsidR="00224143" w:rsidRPr="00224143" w:rsidRDefault="00224143" w:rsidP="00224143">
      <w:pPr>
        <w:spacing w:after="0" w:line="240" w:lineRule="auto"/>
        <w:jc w:val="both"/>
        <w:textAlignment w:val="baseline"/>
        <w:rPr>
          <w:rFonts w:ascii="Titillium" w:hAnsi="Titillium"/>
          <w:sz w:val="20"/>
          <w:szCs w:val="20"/>
        </w:rPr>
      </w:pPr>
      <w:r w:rsidRPr="00224143">
        <w:rPr>
          <w:rFonts w:ascii="Titillium" w:hAnsi="Titillium"/>
          <w:sz w:val="20"/>
          <w:szCs w:val="20"/>
        </w:rPr>
        <w:t>Ako Naručitelj može dobiti popratne dokumente izravno, pristupanjem bazi podataka, gospodarski subjekt u ESPD obrascu navodi podatke koji su potrebni u tu svrhu, npr. internetska adresa baze podataka, svi identifikacijski podaci i izjava o pristanku, ako je potrebno.</w:t>
      </w:r>
    </w:p>
    <w:p w14:paraId="7B561012" w14:textId="77777777" w:rsidR="00224143" w:rsidRPr="00224143" w:rsidRDefault="00224143" w:rsidP="00224143">
      <w:pPr>
        <w:pStyle w:val="Bodytext20"/>
        <w:shd w:val="clear" w:color="auto" w:fill="auto"/>
        <w:spacing w:line="240" w:lineRule="auto"/>
        <w:ind w:firstLine="0"/>
        <w:rPr>
          <w:rFonts w:ascii="Titillium" w:hAnsi="Titillium" w:cs="Times New Roman"/>
          <w:sz w:val="20"/>
          <w:szCs w:val="20"/>
        </w:rPr>
      </w:pPr>
      <w:r w:rsidRPr="00224143">
        <w:rPr>
          <w:rFonts w:ascii="Titillium" w:hAnsi="Titillium" w:cs="Times New Roman"/>
          <w:sz w:val="20"/>
          <w:szCs w:val="20"/>
          <w:lang w:bidi="hr-HR"/>
        </w:rPr>
        <w:t xml:space="preserve">Naručitelj može u bilo kojem trenutku tijekom postupka javne nabave, ako je to potrebno za pravilno provođenje postupka, </w:t>
      </w:r>
      <w:r w:rsidRPr="00224143">
        <w:rPr>
          <w:rStyle w:val="Bodytext2Bold"/>
          <w:rFonts w:ascii="Titillium" w:hAnsi="Titillium" w:cs="Times New Roman"/>
        </w:rPr>
        <w:t xml:space="preserve">provjeriti informacije navedene u ESPD obrascu </w:t>
      </w:r>
      <w:r w:rsidRPr="00224143">
        <w:rPr>
          <w:rFonts w:ascii="Titillium" w:hAnsi="Titillium" w:cs="Times New Roman"/>
          <w:sz w:val="20"/>
          <w:szCs w:val="20"/>
          <w:lang w:bidi="hr-HR"/>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19044055" w14:textId="794C5E6A" w:rsidR="00224143" w:rsidRPr="00224143" w:rsidRDefault="00224143" w:rsidP="00224143">
      <w:pPr>
        <w:pStyle w:val="Bodytext20"/>
        <w:shd w:val="clear" w:color="auto" w:fill="auto"/>
        <w:spacing w:line="240" w:lineRule="auto"/>
        <w:ind w:firstLine="0"/>
        <w:rPr>
          <w:rFonts w:ascii="Titillium" w:hAnsi="Titillium" w:cs="Times New Roman"/>
          <w:sz w:val="20"/>
          <w:szCs w:val="20"/>
          <w:lang w:bidi="hr-HR"/>
        </w:rPr>
      </w:pPr>
      <w:r w:rsidRPr="00224143">
        <w:rPr>
          <w:rFonts w:ascii="Titillium" w:hAnsi="Titillium" w:cs="Times New Roman"/>
          <w:sz w:val="20"/>
          <w:szCs w:val="20"/>
          <w:lang w:bidi="hr-HR"/>
        </w:rPr>
        <w:t>Ako se ne može obaviti provjera ili ishoditi potvrda sukladno prethodnom stavku, Naručitelj može zahtijevati od gospodarskog subjekta da u primjerenom roku, ne kraćem od pet dana, dostavi sve ili dio ažuriranih popratnih dokumenata ili dokaza.</w:t>
      </w:r>
    </w:p>
    <w:p w14:paraId="01CF0E69" w14:textId="77777777" w:rsidR="00224143" w:rsidRPr="00224143" w:rsidRDefault="00224143" w:rsidP="00224143">
      <w:pPr>
        <w:pStyle w:val="Bodytext20"/>
        <w:shd w:val="clear" w:color="auto" w:fill="auto"/>
        <w:spacing w:line="240" w:lineRule="auto"/>
        <w:ind w:firstLine="0"/>
        <w:rPr>
          <w:rFonts w:ascii="Titillium" w:hAnsi="Titillium" w:cs="Times New Roman"/>
          <w:sz w:val="20"/>
          <w:szCs w:val="20"/>
          <w:lang w:bidi="hr-HR"/>
        </w:rPr>
      </w:pPr>
    </w:p>
    <w:p w14:paraId="5324BEBD" w14:textId="77777777" w:rsidR="00224143" w:rsidRPr="00224143" w:rsidRDefault="00224143" w:rsidP="00224143">
      <w:pPr>
        <w:spacing w:after="0" w:line="240" w:lineRule="auto"/>
        <w:ind w:right="139"/>
        <w:jc w:val="both"/>
        <w:rPr>
          <w:rFonts w:ascii="Titillium" w:hAnsi="Titillium"/>
          <w:b/>
          <w:sz w:val="20"/>
          <w:szCs w:val="20"/>
        </w:rPr>
      </w:pPr>
      <w:r w:rsidRPr="00224143">
        <w:rPr>
          <w:rFonts w:ascii="Titillium" w:hAnsi="Titillium"/>
          <w:b/>
          <w:sz w:val="20"/>
          <w:szCs w:val="20"/>
        </w:rPr>
        <w:t>ESPD nije potrebno potpisati niti ovjeravati pečatom.</w:t>
      </w:r>
    </w:p>
    <w:p w14:paraId="315A407E" w14:textId="77777777" w:rsidR="00224143" w:rsidRDefault="00224143" w:rsidP="005C0079">
      <w:pPr>
        <w:spacing w:after="0" w:line="240" w:lineRule="auto"/>
        <w:jc w:val="both"/>
        <w:rPr>
          <w:rFonts w:ascii="Calibri Light" w:hAnsi="Calibri Light" w:cs="Tahoma"/>
        </w:rPr>
      </w:pPr>
    </w:p>
    <w:p w14:paraId="671979E0" w14:textId="77777777" w:rsidR="001C08AC" w:rsidRDefault="001C08AC" w:rsidP="001C08AC">
      <w:pPr>
        <w:pStyle w:val="NoSpacing"/>
        <w:ind w:left="1440"/>
        <w:jc w:val="both"/>
        <w:rPr>
          <w:rFonts w:ascii="Titillium" w:hAnsi="Titillium"/>
          <w:bCs/>
          <w:sz w:val="20"/>
          <w:szCs w:val="20"/>
        </w:rPr>
      </w:pPr>
    </w:p>
    <w:p w14:paraId="46FA0AAF" w14:textId="5F063B20" w:rsidR="0093446A" w:rsidRPr="0093446A" w:rsidRDefault="00224143" w:rsidP="00612BF5">
      <w:pPr>
        <w:pStyle w:val="NoSpacing"/>
        <w:jc w:val="both"/>
        <w:rPr>
          <w:rFonts w:ascii="Titillium" w:hAnsi="Titillium"/>
          <w:b/>
          <w:bCs/>
          <w:sz w:val="20"/>
          <w:szCs w:val="20"/>
        </w:rPr>
      </w:pPr>
      <w:r>
        <w:rPr>
          <w:rFonts w:ascii="Titillium" w:hAnsi="Titillium"/>
          <w:b/>
          <w:bCs/>
          <w:sz w:val="20"/>
          <w:szCs w:val="20"/>
        </w:rPr>
        <w:t>5.2</w:t>
      </w:r>
      <w:r w:rsidR="0093446A" w:rsidRPr="0093446A">
        <w:rPr>
          <w:rFonts w:ascii="Titillium" w:hAnsi="Titillium"/>
          <w:b/>
          <w:bCs/>
          <w:sz w:val="20"/>
          <w:szCs w:val="20"/>
        </w:rPr>
        <w:t xml:space="preserve">. </w:t>
      </w:r>
      <w:r w:rsidR="0093446A" w:rsidRPr="0093446A">
        <w:rPr>
          <w:rFonts w:ascii="Titillium" w:hAnsi="Titillium"/>
          <w:b/>
          <w:bCs/>
          <w:sz w:val="20"/>
          <w:szCs w:val="20"/>
        </w:rPr>
        <w:tab/>
        <w:t xml:space="preserve">Navod da je gospodarski subjekt u ponudi ili zahtjevu za sudjelovanje obvezan dostaviti </w:t>
      </w:r>
      <w:proofErr w:type="spellStart"/>
      <w:r w:rsidR="0093446A" w:rsidRPr="0093446A">
        <w:rPr>
          <w:rFonts w:ascii="Titillium" w:hAnsi="Titillium"/>
          <w:b/>
          <w:bCs/>
          <w:sz w:val="20"/>
          <w:szCs w:val="20"/>
        </w:rPr>
        <w:t>espd</w:t>
      </w:r>
      <w:proofErr w:type="spellEnd"/>
      <w:r w:rsidR="0093446A" w:rsidRPr="0093446A">
        <w:rPr>
          <w:rFonts w:ascii="Titillium" w:hAnsi="Titillium"/>
          <w:b/>
          <w:bCs/>
          <w:sz w:val="20"/>
          <w:szCs w:val="20"/>
        </w:rPr>
        <w:t xml:space="preserve"> kao</w:t>
      </w:r>
    </w:p>
    <w:p w14:paraId="0178C946" w14:textId="77777777" w:rsidR="0093446A" w:rsidRDefault="0093446A" w:rsidP="00612BF5">
      <w:pPr>
        <w:pStyle w:val="NoSpacing"/>
        <w:jc w:val="both"/>
        <w:rPr>
          <w:rFonts w:ascii="Titillium" w:hAnsi="Titillium"/>
          <w:b/>
          <w:bCs/>
          <w:sz w:val="20"/>
          <w:szCs w:val="20"/>
        </w:rPr>
      </w:pPr>
      <w:r w:rsidRPr="0093446A">
        <w:rPr>
          <w:rFonts w:ascii="Titillium" w:hAnsi="Titillium"/>
          <w:b/>
          <w:bCs/>
          <w:sz w:val="20"/>
          <w:szCs w:val="20"/>
        </w:rPr>
        <w:t xml:space="preserve">                preliminarni dokaz da ispunjava tražene kriterije za kvalitativni odabir gospodarskog subjekta</w:t>
      </w:r>
    </w:p>
    <w:p w14:paraId="15563D2C" w14:textId="77777777" w:rsidR="0093446A" w:rsidRPr="0093446A" w:rsidRDefault="0093446A" w:rsidP="00921BA7">
      <w:pPr>
        <w:pStyle w:val="NoSpacing"/>
        <w:jc w:val="both"/>
        <w:rPr>
          <w:rFonts w:ascii="Titillium" w:hAnsi="Titillium"/>
          <w:bCs/>
          <w:sz w:val="20"/>
          <w:szCs w:val="20"/>
        </w:rPr>
      </w:pPr>
    </w:p>
    <w:p w14:paraId="28758090" w14:textId="77777777" w:rsidR="0093446A" w:rsidRPr="0093446A" w:rsidRDefault="0093446A" w:rsidP="00921BA7">
      <w:pPr>
        <w:pStyle w:val="NoSpacing"/>
        <w:jc w:val="both"/>
        <w:rPr>
          <w:rFonts w:ascii="Titillium" w:hAnsi="Titillium"/>
          <w:bCs/>
          <w:sz w:val="20"/>
          <w:szCs w:val="20"/>
        </w:rPr>
      </w:pPr>
      <w:r w:rsidRPr="0093446A">
        <w:rPr>
          <w:rFonts w:ascii="Titillium" w:hAnsi="Titillium"/>
          <w:bCs/>
          <w:sz w:val="20"/>
          <w:szCs w:val="20"/>
        </w:rPr>
        <w:t xml:space="preserve">U slučaju zajednice gospodarskih subjekata svaki pojedini član zajednice gospodarskih subjekata pojedinačno dokazuje da: </w:t>
      </w:r>
    </w:p>
    <w:p w14:paraId="3ED1DFA7" w14:textId="77777777" w:rsidR="0093446A" w:rsidRPr="0093446A" w:rsidRDefault="0093446A" w:rsidP="00F77A9D">
      <w:pPr>
        <w:pStyle w:val="NoSpacing"/>
        <w:numPr>
          <w:ilvl w:val="0"/>
          <w:numId w:val="18"/>
        </w:numPr>
        <w:jc w:val="both"/>
        <w:rPr>
          <w:rFonts w:ascii="Titillium" w:hAnsi="Titillium"/>
          <w:bCs/>
          <w:sz w:val="20"/>
          <w:szCs w:val="20"/>
        </w:rPr>
      </w:pPr>
      <w:bookmarkStart w:id="15" w:name="_Toc494274001"/>
      <w:bookmarkStart w:id="16" w:name="_Toc504410310"/>
      <w:r w:rsidRPr="0093446A">
        <w:rPr>
          <w:rFonts w:ascii="Titillium" w:hAnsi="Titillium"/>
          <w:bCs/>
          <w:sz w:val="20"/>
          <w:szCs w:val="20"/>
        </w:rPr>
        <w:t>nije u jednoj od situacija zbog koje se gospodarski subjekt isključuje iz postupka javne nabave (osnove za isključenje) – sukladno ovoj Dokumentaciji o nabavi,</w:t>
      </w:r>
      <w:bookmarkEnd w:id="15"/>
      <w:bookmarkEnd w:id="16"/>
    </w:p>
    <w:p w14:paraId="147DE8DE" w14:textId="77777777" w:rsidR="0093446A" w:rsidRPr="0093446A" w:rsidRDefault="0093446A" w:rsidP="00921BA7">
      <w:pPr>
        <w:pStyle w:val="NoSpacing"/>
        <w:jc w:val="both"/>
        <w:rPr>
          <w:rFonts w:ascii="Titillium" w:hAnsi="Titillium"/>
          <w:bCs/>
          <w:sz w:val="20"/>
          <w:szCs w:val="20"/>
        </w:rPr>
      </w:pPr>
      <w:r w:rsidRPr="0093446A">
        <w:rPr>
          <w:rFonts w:ascii="Titillium" w:hAnsi="Titillium"/>
          <w:bCs/>
          <w:sz w:val="20"/>
          <w:szCs w:val="20"/>
        </w:rPr>
        <w:t>skupno (zajednički) dokazuju da:</w:t>
      </w:r>
    </w:p>
    <w:p w14:paraId="3D5B4AB1" w14:textId="77777777" w:rsidR="0093446A" w:rsidRDefault="0093446A" w:rsidP="00F77A9D">
      <w:pPr>
        <w:pStyle w:val="NoSpacing"/>
        <w:numPr>
          <w:ilvl w:val="0"/>
          <w:numId w:val="18"/>
        </w:numPr>
        <w:jc w:val="both"/>
        <w:rPr>
          <w:rFonts w:ascii="Titillium" w:hAnsi="Titillium"/>
          <w:bCs/>
          <w:sz w:val="20"/>
          <w:szCs w:val="20"/>
        </w:rPr>
      </w:pPr>
      <w:bookmarkStart w:id="17" w:name="_Toc494274002"/>
      <w:bookmarkStart w:id="18" w:name="_Toc504410311"/>
      <w:r w:rsidRPr="0093446A">
        <w:rPr>
          <w:rFonts w:ascii="Titillium" w:hAnsi="Titillium"/>
          <w:bCs/>
          <w:sz w:val="20"/>
          <w:szCs w:val="20"/>
        </w:rPr>
        <w:t>ispunjavaju tražene kriterije za kvalitativni odabir gospodarskog subjekta (dokaze sposobnosti) iz ove Dokumentacije o nabavi.</w:t>
      </w:r>
      <w:bookmarkEnd w:id="17"/>
      <w:bookmarkEnd w:id="18"/>
    </w:p>
    <w:p w14:paraId="724D2B0F" w14:textId="77777777" w:rsidR="0093446A" w:rsidRDefault="0093446A" w:rsidP="00921BA7">
      <w:pPr>
        <w:pStyle w:val="NoSpacing"/>
        <w:jc w:val="both"/>
        <w:rPr>
          <w:rFonts w:ascii="Titillium" w:hAnsi="Titillium"/>
          <w:bCs/>
          <w:sz w:val="20"/>
          <w:szCs w:val="20"/>
        </w:rPr>
      </w:pPr>
    </w:p>
    <w:p w14:paraId="1579D896" w14:textId="77777777" w:rsidR="0093446A" w:rsidRDefault="0093446A" w:rsidP="00921BA7">
      <w:pPr>
        <w:pStyle w:val="NoSpacing"/>
        <w:jc w:val="both"/>
        <w:rPr>
          <w:rFonts w:ascii="Titillium" w:hAnsi="Titillium"/>
          <w:bCs/>
          <w:sz w:val="20"/>
          <w:szCs w:val="20"/>
        </w:rPr>
      </w:pPr>
      <w:r w:rsidRPr="0093446A">
        <w:rPr>
          <w:rFonts w:ascii="Titillium" w:hAnsi="Titillium"/>
          <w:bCs/>
          <w:sz w:val="20"/>
          <w:szCs w:val="20"/>
        </w:rPr>
        <w:t xml:space="preserve">Ukoliko ponuditelj namjerava dati dio ugovora o javnoj nabavi u podugovor jednom ili više </w:t>
      </w:r>
      <w:proofErr w:type="spellStart"/>
      <w:r w:rsidRPr="0093446A">
        <w:rPr>
          <w:rFonts w:ascii="Titillium" w:hAnsi="Titillium"/>
          <w:bCs/>
          <w:sz w:val="20"/>
          <w:szCs w:val="20"/>
        </w:rPr>
        <w:t>podugovaratelja</w:t>
      </w:r>
      <w:proofErr w:type="spellEnd"/>
      <w:r w:rsidRPr="0093446A">
        <w:rPr>
          <w:rFonts w:ascii="Titillium" w:hAnsi="Titillium"/>
          <w:bCs/>
          <w:sz w:val="20"/>
          <w:szCs w:val="20"/>
        </w:rPr>
        <w:t xml:space="preserve">, za svakog </w:t>
      </w:r>
      <w:proofErr w:type="spellStart"/>
      <w:r w:rsidRPr="0093446A">
        <w:rPr>
          <w:rFonts w:ascii="Titillium" w:hAnsi="Titillium"/>
          <w:bCs/>
          <w:sz w:val="20"/>
          <w:szCs w:val="20"/>
        </w:rPr>
        <w:t>podugovaratelja</w:t>
      </w:r>
      <w:proofErr w:type="spellEnd"/>
      <w:r w:rsidRPr="0093446A">
        <w:rPr>
          <w:rFonts w:ascii="Titillium" w:hAnsi="Titillium"/>
          <w:bCs/>
          <w:sz w:val="20"/>
          <w:szCs w:val="20"/>
        </w:rPr>
        <w:t xml:space="preserve"> se pojedinačno dokazuje da:</w:t>
      </w:r>
    </w:p>
    <w:p w14:paraId="7E76A8F6" w14:textId="77777777" w:rsidR="0093446A" w:rsidRDefault="0093446A" w:rsidP="00F77A9D">
      <w:pPr>
        <w:pStyle w:val="ListParagraph"/>
        <w:numPr>
          <w:ilvl w:val="1"/>
          <w:numId w:val="12"/>
        </w:numPr>
        <w:jc w:val="both"/>
        <w:rPr>
          <w:rFonts w:ascii="Titillium" w:eastAsia="Calibri" w:hAnsi="Titillium"/>
          <w:bCs/>
          <w:sz w:val="20"/>
          <w:szCs w:val="20"/>
        </w:rPr>
      </w:pPr>
      <w:r>
        <w:rPr>
          <w:rFonts w:ascii="Titillium" w:eastAsia="Calibri" w:hAnsi="Titillium"/>
          <w:bCs/>
          <w:sz w:val="20"/>
          <w:szCs w:val="20"/>
        </w:rPr>
        <w:t xml:space="preserve">nije u </w:t>
      </w:r>
      <w:r w:rsidRPr="0093446A">
        <w:rPr>
          <w:rFonts w:ascii="Titillium" w:eastAsia="Calibri" w:hAnsi="Titillium"/>
          <w:bCs/>
          <w:sz w:val="20"/>
          <w:szCs w:val="20"/>
        </w:rPr>
        <w:t>jednoj od situacija zbog koje se gospodarski subjekt isključuje ili može isključiti iz postupka javne nabave (obvezne i ostale osnove za isključenje) – sukladno ovoj Dokumentaciji o nabavi.</w:t>
      </w:r>
    </w:p>
    <w:p w14:paraId="293CE798" w14:textId="77777777" w:rsidR="0093446A" w:rsidRDefault="0093446A" w:rsidP="00921BA7">
      <w:pPr>
        <w:pStyle w:val="ListParagraph"/>
        <w:ind w:left="1440"/>
        <w:jc w:val="both"/>
        <w:rPr>
          <w:rFonts w:ascii="Titillium" w:eastAsia="Calibri" w:hAnsi="Titillium"/>
          <w:bCs/>
          <w:sz w:val="20"/>
          <w:szCs w:val="20"/>
        </w:rPr>
      </w:pPr>
    </w:p>
    <w:p w14:paraId="208D805F" w14:textId="77777777" w:rsidR="0093446A" w:rsidRPr="0093446A" w:rsidRDefault="0093446A" w:rsidP="00921BA7">
      <w:pPr>
        <w:pStyle w:val="NoSpacing"/>
        <w:jc w:val="both"/>
        <w:rPr>
          <w:rFonts w:ascii="Titillium" w:hAnsi="Titillium"/>
          <w:sz w:val="20"/>
          <w:szCs w:val="20"/>
        </w:rPr>
      </w:pPr>
      <w:r w:rsidRPr="0093446A">
        <w:rPr>
          <w:rFonts w:ascii="Titillium" w:hAnsi="Titillium"/>
          <w:sz w:val="20"/>
          <w:szCs w:val="20"/>
        </w:rPr>
        <w:t>U ESPD-u se navode izdavatelji popratnih dokumenata te ESPD sadržava izjavu da će gospodarski subjekt moći, na zahtjev i bez odgode, javnom naručitelju dostaviti te dokumente.</w:t>
      </w:r>
    </w:p>
    <w:p w14:paraId="6F82814B" w14:textId="77777777" w:rsidR="0093446A" w:rsidRPr="0093446A" w:rsidRDefault="0093446A" w:rsidP="00921BA7">
      <w:pPr>
        <w:pStyle w:val="NoSpacing"/>
        <w:jc w:val="both"/>
        <w:rPr>
          <w:rFonts w:ascii="Titillium" w:hAnsi="Titillium"/>
          <w:bCs/>
          <w:sz w:val="20"/>
          <w:szCs w:val="20"/>
        </w:rPr>
      </w:pPr>
    </w:p>
    <w:p w14:paraId="3038D056" w14:textId="6BCEFA1C" w:rsidR="00921BA7" w:rsidRDefault="0093446A" w:rsidP="00921BA7">
      <w:pPr>
        <w:pStyle w:val="NoSpacing"/>
        <w:jc w:val="both"/>
        <w:rPr>
          <w:rFonts w:ascii="Titillium" w:hAnsi="Titillium"/>
          <w:bCs/>
          <w:sz w:val="20"/>
          <w:szCs w:val="20"/>
        </w:rPr>
      </w:pPr>
      <w:r w:rsidRPr="0093446A">
        <w:rPr>
          <w:rFonts w:ascii="Titillium" w:hAnsi="Titillium"/>
          <w:bCs/>
          <w:sz w:val="20"/>
          <w:szCs w:val="20"/>
        </w:rPr>
        <w:t>Gospodarski subjekt može ponovno koristiti ESPD koji je već koristio u nekom prethodnom postupku nabave, ako potvrdi da su u njoj sadržani podaci ispravni i ako isti obrazac ima sve podatke koji su traženi ovom Dokumentacijom o nabavi.</w:t>
      </w:r>
    </w:p>
    <w:p w14:paraId="0E9D5254" w14:textId="77777777" w:rsidR="00921BA7" w:rsidRDefault="00921BA7" w:rsidP="00921BA7">
      <w:pPr>
        <w:pStyle w:val="NoSpacing"/>
        <w:jc w:val="both"/>
        <w:rPr>
          <w:rFonts w:ascii="Titillium" w:hAnsi="Titillium"/>
          <w:bCs/>
          <w:sz w:val="20"/>
          <w:szCs w:val="20"/>
        </w:rPr>
      </w:pPr>
      <w:r w:rsidRPr="00921BA7">
        <w:rPr>
          <w:rFonts w:ascii="Titillium" w:hAnsi="Titillium"/>
          <w:bCs/>
          <w:sz w:val="20"/>
          <w:szCs w:val="20"/>
        </w:rPr>
        <w:t>Temeljem navedenog:</w:t>
      </w:r>
    </w:p>
    <w:p w14:paraId="446C273F" w14:textId="77777777" w:rsidR="00921BA7" w:rsidRPr="00921BA7" w:rsidRDefault="00921BA7" w:rsidP="00F77A9D">
      <w:pPr>
        <w:pStyle w:val="NoSpacing"/>
        <w:numPr>
          <w:ilvl w:val="1"/>
          <w:numId w:val="12"/>
        </w:numPr>
        <w:jc w:val="both"/>
        <w:rPr>
          <w:rFonts w:ascii="Titillium" w:hAnsi="Titillium"/>
          <w:bCs/>
          <w:sz w:val="20"/>
          <w:szCs w:val="20"/>
        </w:rPr>
      </w:pPr>
      <w:r w:rsidRPr="00921BA7">
        <w:rPr>
          <w:rFonts w:ascii="Titillium" w:hAnsi="Titillium"/>
          <w:bCs/>
          <w:sz w:val="20"/>
          <w:szCs w:val="20"/>
        </w:rPr>
        <w:t xml:space="preserve"> U slučaju da ponudu podnosi samostalno gospodarski subjekt, ESPD u ponudi prilaže Ponuditelj, a ESPD izrađuje sam Ponuditelj, sukladno uputama Naručitelja iz dokumentacije o nabavi;</w:t>
      </w:r>
    </w:p>
    <w:p w14:paraId="042A87B6" w14:textId="77777777" w:rsidR="00921BA7" w:rsidRDefault="00921BA7" w:rsidP="00F77A9D">
      <w:pPr>
        <w:pStyle w:val="NoSpacing"/>
        <w:numPr>
          <w:ilvl w:val="1"/>
          <w:numId w:val="12"/>
        </w:numPr>
        <w:jc w:val="both"/>
        <w:rPr>
          <w:rFonts w:ascii="Titillium" w:hAnsi="Titillium"/>
          <w:bCs/>
          <w:sz w:val="20"/>
          <w:szCs w:val="20"/>
        </w:rPr>
      </w:pPr>
      <w:r w:rsidRPr="00921BA7">
        <w:rPr>
          <w:rFonts w:ascii="Titillium" w:hAnsi="Titillium"/>
          <w:bCs/>
          <w:sz w:val="20"/>
          <w:szCs w:val="20"/>
        </w:rPr>
        <w:t>U slučaju da ponudu podnosi Zajednica gospodarskih subjekata, ESPD za svakog člana Zajednice u ponudi prilaže Zajednica ponuditelja, a ESPD izrađuje samostalno svaki član Zajednice Ponuditelja, sukladno uputama Naručitelja iz dokumentacije o nabavi;</w:t>
      </w:r>
    </w:p>
    <w:p w14:paraId="6EA51334" w14:textId="77777777" w:rsidR="00921BA7" w:rsidRDefault="00921BA7" w:rsidP="00F77A9D">
      <w:pPr>
        <w:pStyle w:val="NoSpacing"/>
        <w:numPr>
          <w:ilvl w:val="1"/>
          <w:numId w:val="12"/>
        </w:numPr>
        <w:jc w:val="both"/>
        <w:rPr>
          <w:rFonts w:ascii="Titillium" w:hAnsi="Titillium"/>
          <w:bCs/>
          <w:sz w:val="20"/>
          <w:szCs w:val="20"/>
        </w:rPr>
      </w:pPr>
      <w:r w:rsidRPr="00921BA7">
        <w:rPr>
          <w:rFonts w:ascii="Titillium" w:hAnsi="Titillium"/>
          <w:bCs/>
          <w:sz w:val="20"/>
          <w:szCs w:val="20"/>
        </w:rPr>
        <w:t xml:space="preserve">U slučaju da se Ponuditelj odnosno Zajednica gospodarskih subjekata oslanjaju na sposobnost drugog subjekta ili </w:t>
      </w:r>
      <w:proofErr w:type="spellStart"/>
      <w:r w:rsidRPr="00921BA7">
        <w:rPr>
          <w:rFonts w:ascii="Titillium" w:hAnsi="Titillium"/>
          <w:bCs/>
          <w:sz w:val="20"/>
          <w:szCs w:val="20"/>
        </w:rPr>
        <w:t>podugovaratelja</w:t>
      </w:r>
      <w:proofErr w:type="spellEnd"/>
      <w:r w:rsidRPr="00921BA7">
        <w:rPr>
          <w:rFonts w:ascii="Titillium" w:hAnsi="Titillium"/>
          <w:bCs/>
          <w:sz w:val="20"/>
          <w:szCs w:val="20"/>
        </w:rPr>
        <w:t xml:space="preserve">, ESPD za svaki gospodarski subjekt (na čiju se sposobnost oslanjaju) u ponudi prilaže Ponuditelj odnosno Zajednica ponuditelja, a ESPD izrađuje samostalno svaki drugi subjekt ili </w:t>
      </w:r>
      <w:proofErr w:type="spellStart"/>
      <w:r w:rsidRPr="00921BA7">
        <w:rPr>
          <w:rFonts w:ascii="Titillium" w:hAnsi="Titillium"/>
          <w:bCs/>
          <w:sz w:val="20"/>
          <w:szCs w:val="20"/>
        </w:rPr>
        <w:t>podugovaratelj</w:t>
      </w:r>
      <w:proofErr w:type="spellEnd"/>
      <w:r w:rsidRPr="00921BA7">
        <w:rPr>
          <w:rFonts w:ascii="Titillium" w:hAnsi="Titillium"/>
          <w:bCs/>
          <w:sz w:val="20"/>
          <w:szCs w:val="20"/>
        </w:rPr>
        <w:t xml:space="preserve"> na kojeg se Ponuditelj, odnosno Zajednica ponuditelja oslanja, sukladno uputama Naručitelja iz dokumentacije o nabavi;</w:t>
      </w:r>
    </w:p>
    <w:p w14:paraId="4DDE93AC" w14:textId="77777777" w:rsidR="0093446A" w:rsidRDefault="00921BA7" w:rsidP="00F77A9D">
      <w:pPr>
        <w:pStyle w:val="NoSpacing"/>
        <w:numPr>
          <w:ilvl w:val="1"/>
          <w:numId w:val="12"/>
        </w:numPr>
        <w:jc w:val="both"/>
        <w:rPr>
          <w:rFonts w:ascii="Titillium" w:hAnsi="Titillium"/>
          <w:bCs/>
          <w:sz w:val="20"/>
          <w:szCs w:val="20"/>
        </w:rPr>
      </w:pPr>
      <w:r w:rsidRPr="00921BA7">
        <w:rPr>
          <w:rFonts w:ascii="Titillium" w:hAnsi="Titillium"/>
          <w:bCs/>
          <w:sz w:val="20"/>
          <w:szCs w:val="20"/>
        </w:rPr>
        <w:t xml:space="preserve">U slučaju da Ponuditelj odnosno Zajednica gospodarskih subjekata za izvršenja dijela ugovora angažiraju jednog ili više </w:t>
      </w:r>
      <w:proofErr w:type="spellStart"/>
      <w:r w:rsidRPr="00921BA7">
        <w:rPr>
          <w:rFonts w:ascii="Titillium" w:hAnsi="Titillium"/>
          <w:bCs/>
          <w:sz w:val="20"/>
          <w:szCs w:val="20"/>
        </w:rPr>
        <w:t>podugovaratelja</w:t>
      </w:r>
      <w:proofErr w:type="spellEnd"/>
      <w:r w:rsidRPr="00921BA7">
        <w:rPr>
          <w:rFonts w:ascii="Titillium" w:hAnsi="Titillium"/>
          <w:bCs/>
          <w:sz w:val="20"/>
          <w:szCs w:val="20"/>
        </w:rPr>
        <w:t xml:space="preserve"> na čiju se sposobnost ne oslanjaju, ESPD za svakog </w:t>
      </w:r>
      <w:proofErr w:type="spellStart"/>
      <w:r w:rsidRPr="00921BA7">
        <w:rPr>
          <w:rFonts w:ascii="Titillium" w:hAnsi="Titillium"/>
          <w:bCs/>
          <w:sz w:val="20"/>
          <w:szCs w:val="20"/>
        </w:rPr>
        <w:t>podugovaratelja</w:t>
      </w:r>
      <w:proofErr w:type="spellEnd"/>
      <w:r w:rsidRPr="00921BA7">
        <w:rPr>
          <w:rFonts w:ascii="Titillium" w:hAnsi="Titillium"/>
          <w:bCs/>
          <w:sz w:val="20"/>
          <w:szCs w:val="20"/>
        </w:rPr>
        <w:t xml:space="preserve"> u ponudi prilaže Ponuditelj odnosno Zajednica ponuditelja, a ESPD izrađuje samostalno svaki </w:t>
      </w:r>
      <w:proofErr w:type="spellStart"/>
      <w:r w:rsidRPr="00921BA7">
        <w:rPr>
          <w:rFonts w:ascii="Titillium" w:hAnsi="Titillium"/>
          <w:bCs/>
          <w:sz w:val="20"/>
          <w:szCs w:val="20"/>
        </w:rPr>
        <w:t>podugovaratelj</w:t>
      </w:r>
      <w:proofErr w:type="spellEnd"/>
      <w:r w:rsidRPr="00921BA7">
        <w:rPr>
          <w:rFonts w:ascii="Titillium" w:hAnsi="Titillium"/>
          <w:bCs/>
          <w:sz w:val="20"/>
          <w:szCs w:val="20"/>
        </w:rPr>
        <w:t xml:space="preserve"> zasebno, sukladno uputama Naručitelja iz dokumentacije o nabavi.</w:t>
      </w:r>
    </w:p>
    <w:p w14:paraId="54EFC35A" w14:textId="77777777" w:rsidR="004A53A2" w:rsidRDefault="004A53A2" w:rsidP="004A53A2">
      <w:pPr>
        <w:pStyle w:val="NoSpacing"/>
        <w:ind w:left="1440"/>
        <w:jc w:val="both"/>
        <w:rPr>
          <w:rFonts w:ascii="Titillium" w:hAnsi="Titillium"/>
          <w:bCs/>
          <w:sz w:val="20"/>
          <w:szCs w:val="20"/>
        </w:rPr>
      </w:pPr>
    </w:p>
    <w:p w14:paraId="576909FA" w14:textId="7D5E767F" w:rsidR="00921BA7" w:rsidRDefault="00E76449" w:rsidP="00921BA7">
      <w:pPr>
        <w:pStyle w:val="NoSpacing"/>
        <w:rPr>
          <w:rFonts w:ascii="Titillium" w:hAnsi="Titillium"/>
          <w:b/>
          <w:sz w:val="20"/>
          <w:szCs w:val="20"/>
        </w:rPr>
      </w:pPr>
      <w:r>
        <w:rPr>
          <w:rFonts w:ascii="Titillium" w:hAnsi="Titillium"/>
          <w:b/>
          <w:sz w:val="20"/>
          <w:szCs w:val="20"/>
        </w:rPr>
        <w:t>5.3</w:t>
      </w:r>
      <w:bookmarkStart w:id="19" w:name="_GoBack"/>
      <w:bookmarkEnd w:id="19"/>
      <w:r w:rsidR="00921BA7" w:rsidRPr="00921BA7">
        <w:rPr>
          <w:rFonts w:ascii="Titillium" w:hAnsi="Titillium"/>
          <w:b/>
          <w:sz w:val="20"/>
          <w:szCs w:val="20"/>
        </w:rPr>
        <w:t xml:space="preserve">. </w:t>
      </w:r>
      <w:r w:rsidR="00921BA7" w:rsidRPr="00921BA7">
        <w:rPr>
          <w:rFonts w:ascii="Titillium" w:hAnsi="Titillium"/>
          <w:b/>
          <w:sz w:val="20"/>
          <w:szCs w:val="20"/>
        </w:rPr>
        <w:tab/>
        <w:t>Upute za popunjavanje ESPD obrasca</w:t>
      </w:r>
    </w:p>
    <w:p w14:paraId="73B0ADA2" w14:textId="77777777" w:rsidR="00921BA7" w:rsidRPr="00921BA7" w:rsidRDefault="00921BA7" w:rsidP="00612BF5">
      <w:pPr>
        <w:pStyle w:val="NoSpacing"/>
        <w:jc w:val="both"/>
        <w:rPr>
          <w:rFonts w:ascii="Titillium" w:hAnsi="Titillium"/>
          <w:sz w:val="20"/>
          <w:szCs w:val="20"/>
        </w:rPr>
      </w:pPr>
      <w:r w:rsidRPr="00921BA7">
        <w:rPr>
          <w:rFonts w:ascii="Titillium" w:hAnsi="Titillium"/>
          <w:sz w:val="20"/>
          <w:szCs w:val="20"/>
        </w:rPr>
        <w:t xml:space="preserve">Za potrebe utvrđivanja uvjeta i zahtjeva iz ove Dokumentacije o nabavi, gospodarski subjekt u ponudi dostavlja ispunjeni obrazac Europske jedinstvene dokumentacije o nabavi (ESPD) i to: </w:t>
      </w:r>
    </w:p>
    <w:p w14:paraId="5C021CAE" w14:textId="77777777" w:rsidR="00921BA7" w:rsidRDefault="00921BA7" w:rsidP="00921BA7">
      <w:pPr>
        <w:pStyle w:val="NoSpacing"/>
        <w:rPr>
          <w:rFonts w:ascii="Titillium" w:hAnsi="Titillium"/>
          <w:sz w:val="20"/>
          <w:szCs w:val="20"/>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6804"/>
      </w:tblGrid>
      <w:tr w:rsidR="00921BA7" w:rsidRPr="00921BA7" w14:paraId="26EF8688" w14:textId="77777777" w:rsidTr="00404C15">
        <w:trPr>
          <w:trHeight w:val="445"/>
        </w:trPr>
        <w:tc>
          <w:tcPr>
            <w:tcW w:w="2694" w:type="dxa"/>
            <w:shd w:val="clear" w:color="auto" w:fill="DEEAF6" w:themeFill="accent1" w:themeFillTint="33"/>
          </w:tcPr>
          <w:p w14:paraId="581330BA" w14:textId="77777777" w:rsidR="00921BA7" w:rsidRPr="00921BA7" w:rsidRDefault="00921BA7" w:rsidP="003A2B35">
            <w:pPr>
              <w:spacing w:after="0" w:line="240" w:lineRule="auto"/>
              <w:rPr>
                <w:rFonts w:ascii="Titillium" w:hAnsi="Titillium"/>
                <w:b/>
                <w:sz w:val="20"/>
                <w:szCs w:val="20"/>
                <w:lang w:val="en-US"/>
              </w:rPr>
            </w:pPr>
            <w:r w:rsidRPr="00921BA7">
              <w:rPr>
                <w:rFonts w:ascii="Titillium" w:hAnsi="Titillium"/>
                <w:b/>
                <w:sz w:val="20"/>
                <w:szCs w:val="20"/>
                <w:lang w:val="en-US"/>
              </w:rPr>
              <w:t>DIO II.</w:t>
            </w:r>
          </w:p>
        </w:tc>
        <w:tc>
          <w:tcPr>
            <w:tcW w:w="6804" w:type="dxa"/>
            <w:shd w:val="clear" w:color="auto" w:fill="DEEAF6" w:themeFill="accent1" w:themeFillTint="33"/>
          </w:tcPr>
          <w:p w14:paraId="73413086" w14:textId="668E46F6" w:rsidR="00921BA7" w:rsidRPr="00921BA7" w:rsidRDefault="00921BA7" w:rsidP="003A2B35">
            <w:pPr>
              <w:spacing w:after="0" w:line="240" w:lineRule="auto"/>
              <w:rPr>
                <w:rFonts w:ascii="Titillium" w:hAnsi="Titillium"/>
                <w:b/>
                <w:sz w:val="20"/>
                <w:szCs w:val="20"/>
                <w:lang w:val="en-US"/>
              </w:rPr>
            </w:pPr>
            <w:r w:rsidRPr="00921BA7">
              <w:rPr>
                <w:rFonts w:ascii="Titillium" w:hAnsi="Titillium"/>
                <w:b/>
                <w:sz w:val="20"/>
                <w:szCs w:val="20"/>
                <w:lang w:val="en-US"/>
              </w:rPr>
              <w:t xml:space="preserve">PODACI  </w:t>
            </w:r>
            <w:r w:rsidR="0089060C">
              <w:rPr>
                <w:rFonts w:ascii="Titillium" w:hAnsi="Titillium"/>
                <w:b/>
                <w:sz w:val="20"/>
                <w:szCs w:val="20"/>
                <w:lang w:val="en-US"/>
              </w:rPr>
              <w:t xml:space="preserve">O </w:t>
            </w:r>
            <w:r w:rsidRPr="00921BA7">
              <w:rPr>
                <w:rFonts w:ascii="Titillium" w:hAnsi="Titillium"/>
                <w:b/>
                <w:sz w:val="20"/>
                <w:szCs w:val="20"/>
                <w:lang w:val="en-US"/>
              </w:rPr>
              <w:t>GOSPODARSKOM SUBJEKTU</w:t>
            </w:r>
          </w:p>
        </w:tc>
      </w:tr>
      <w:tr w:rsidR="00921BA7" w:rsidRPr="00921BA7" w14:paraId="12C768A0" w14:textId="77777777" w:rsidTr="003A2B35">
        <w:trPr>
          <w:trHeight w:val="442"/>
        </w:trPr>
        <w:tc>
          <w:tcPr>
            <w:tcW w:w="2694" w:type="dxa"/>
          </w:tcPr>
          <w:p w14:paraId="4E08E101" w14:textId="77777777" w:rsidR="00921BA7" w:rsidRPr="00921BA7" w:rsidRDefault="00921BA7" w:rsidP="003A2B35">
            <w:pPr>
              <w:spacing w:after="0" w:line="240" w:lineRule="auto"/>
              <w:rPr>
                <w:rFonts w:ascii="Titillium" w:hAnsi="Titillium"/>
                <w:b/>
                <w:sz w:val="20"/>
                <w:szCs w:val="20"/>
                <w:lang w:val="en-US"/>
              </w:rPr>
            </w:pPr>
          </w:p>
        </w:tc>
        <w:tc>
          <w:tcPr>
            <w:tcW w:w="6804" w:type="dxa"/>
          </w:tcPr>
          <w:p w14:paraId="45ACB5C9" w14:textId="77777777" w:rsidR="00921BA7" w:rsidRPr="00921BA7" w:rsidRDefault="00921BA7" w:rsidP="00F77A9D">
            <w:pPr>
              <w:pStyle w:val="ListParagraph"/>
              <w:numPr>
                <w:ilvl w:val="0"/>
                <w:numId w:val="19"/>
              </w:numPr>
              <w:autoSpaceDE w:val="0"/>
              <w:autoSpaceDN w:val="0"/>
              <w:adjustRightInd w:val="0"/>
              <w:contextualSpacing/>
              <w:jc w:val="both"/>
              <w:outlineLvl w:val="0"/>
              <w:rPr>
                <w:rFonts w:ascii="Titillium" w:hAnsi="Titillium"/>
                <w:b/>
                <w:sz w:val="20"/>
                <w:szCs w:val="20"/>
                <w:lang w:val="pl-PL"/>
              </w:rPr>
            </w:pPr>
            <w:bookmarkStart w:id="20" w:name="_Toc494274009"/>
            <w:bookmarkStart w:id="21" w:name="_Toc504410318"/>
            <w:r w:rsidRPr="00921BA7">
              <w:rPr>
                <w:rFonts w:ascii="Titillium" w:hAnsi="Titillium"/>
                <w:sz w:val="20"/>
                <w:szCs w:val="20"/>
                <w:lang w:val="pl-PL"/>
              </w:rPr>
              <w:t>točka A – Podaci o gospodarskom subjektu;</w:t>
            </w:r>
            <w:bookmarkEnd w:id="20"/>
            <w:bookmarkEnd w:id="21"/>
          </w:p>
          <w:p w14:paraId="0DC6B25E" w14:textId="77777777" w:rsidR="00921BA7" w:rsidRPr="00921BA7" w:rsidRDefault="00921BA7" w:rsidP="00F77A9D">
            <w:pPr>
              <w:pStyle w:val="ListParagraph"/>
              <w:numPr>
                <w:ilvl w:val="0"/>
                <w:numId w:val="19"/>
              </w:numPr>
              <w:autoSpaceDE w:val="0"/>
              <w:autoSpaceDN w:val="0"/>
              <w:adjustRightInd w:val="0"/>
              <w:contextualSpacing/>
              <w:jc w:val="both"/>
              <w:outlineLvl w:val="0"/>
              <w:rPr>
                <w:rFonts w:ascii="Titillium" w:hAnsi="Titillium"/>
                <w:b/>
                <w:sz w:val="20"/>
                <w:szCs w:val="20"/>
                <w:lang w:val="pl-PL"/>
              </w:rPr>
            </w:pPr>
            <w:bookmarkStart w:id="22" w:name="_Toc494274010"/>
            <w:bookmarkStart w:id="23" w:name="_Toc504410319"/>
            <w:r w:rsidRPr="00921BA7">
              <w:rPr>
                <w:rFonts w:ascii="Titillium" w:hAnsi="Titillium"/>
                <w:sz w:val="20"/>
                <w:szCs w:val="20"/>
                <w:lang w:val="pl-PL"/>
              </w:rPr>
              <w:t>točka B – Podaci o zastupnicima gospodarskog subjekta</w:t>
            </w:r>
            <w:bookmarkEnd w:id="22"/>
            <w:bookmarkEnd w:id="23"/>
          </w:p>
          <w:p w14:paraId="1AB58B87" w14:textId="77777777" w:rsidR="00921BA7" w:rsidRPr="00921BA7" w:rsidRDefault="00921BA7" w:rsidP="00F77A9D">
            <w:pPr>
              <w:pStyle w:val="ListParagraph"/>
              <w:numPr>
                <w:ilvl w:val="0"/>
                <w:numId w:val="19"/>
              </w:numPr>
              <w:autoSpaceDE w:val="0"/>
              <w:autoSpaceDN w:val="0"/>
              <w:adjustRightInd w:val="0"/>
              <w:contextualSpacing/>
              <w:jc w:val="both"/>
              <w:outlineLvl w:val="0"/>
              <w:rPr>
                <w:rFonts w:ascii="Titillium" w:hAnsi="Titillium"/>
                <w:b/>
                <w:sz w:val="20"/>
                <w:szCs w:val="20"/>
                <w:lang w:val="pl-PL"/>
              </w:rPr>
            </w:pPr>
            <w:bookmarkStart w:id="24" w:name="_Toc494274011"/>
            <w:bookmarkStart w:id="25" w:name="_Toc504410320"/>
            <w:r w:rsidRPr="00921BA7">
              <w:rPr>
                <w:rFonts w:ascii="Titillium" w:hAnsi="Titillium"/>
                <w:sz w:val="20"/>
                <w:szCs w:val="20"/>
                <w:lang w:val="pl-PL"/>
              </w:rPr>
              <w:t xml:space="preserve">točka C – Podaci o oslanjanju na sposobnost drugih subjekata- </w:t>
            </w:r>
            <w:r w:rsidRPr="00921BA7">
              <w:rPr>
                <w:rFonts w:ascii="Titillium" w:hAnsi="Titillium"/>
                <w:i/>
                <w:sz w:val="20"/>
                <w:szCs w:val="20"/>
                <w:lang w:val="pl-PL"/>
              </w:rPr>
              <w:t>ako je primjenjivo</w:t>
            </w:r>
            <w:bookmarkEnd w:id="24"/>
            <w:bookmarkEnd w:id="25"/>
          </w:p>
          <w:p w14:paraId="41B6898B" w14:textId="5BE5FC26" w:rsidR="00921BA7" w:rsidRPr="00921BA7" w:rsidRDefault="00921BA7" w:rsidP="00F77A9D">
            <w:pPr>
              <w:pStyle w:val="ListParagraph"/>
              <w:numPr>
                <w:ilvl w:val="0"/>
                <w:numId w:val="19"/>
              </w:numPr>
              <w:autoSpaceDE w:val="0"/>
              <w:autoSpaceDN w:val="0"/>
              <w:adjustRightInd w:val="0"/>
              <w:contextualSpacing/>
              <w:jc w:val="both"/>
              <w:outlineLvl w:val="0"/>
              <w:rPr>
                <w:rFonts w:ascii="Titillium" w:hAnsi="Titillium"/>
                <w:b/>
                <w:sz w:val="20"/>
                <w:szCs w:val="20"/>
                <w:lang w:val="pl-PL"/>
              </w:rPr>
            </w:pPr>
            <w:bookmarkStart w:id="26" w:name="_Toc494274012"/>
            <w:bookmarkStart w:id="27" w:name="_Toc504410321"/>
            <w:r w:rsidRPr="00921BA7">
              <w:rPr>
                <w:rFonts w:ascii="Titillium" w:hAnsi="Titillium"/>
                <w:sz w:val="20"/>
                <w:szCs w:val="20"/>
                <w:lang w:val="pl-PL"/>
              </w:rPr>
              <w:t>točka D – Podaci o podugovarateljima na čije se sposobnosti gosp</w:t>
            </w:r>
            <w:r w:rsidR="00240708">
              <w:rPr>
                <w:rFonts w:ascii="Titillium" w:hAnsi="Titillium"/>
                <w:sz w:val="20"/>
                <w:szCs w:val="20"/>
                <w:lang w:val="pl-PL"/>
              </w:rPr>
              <w:t>odar</w:t>
            </w:r>
            <w:r w:rsidRPr="00921BA7">
              <w:rPr>
                <w:rFonts w:ascii="Titillium" w:hAnsi="Titillium"/>
                <w:sz w:val="20"/>
                <w:szCs w:val="20"/>
                <w:lang w:val="pl-PL"/>
              </w:rPr>
              <w:t xml:space="preserve">ski subjekt ne </w:t>
            </w:r>
            <w:r w:rsidR="00240708" w:rsidRPr="00921BA7">
              <w:rPr>
                <w:rFonts w:ascii="Titillium" w:hAnsi="Titillium"/>
                <w:sz w:val="20"/>
                <w:szCs w:val="20"/>
                <w:lang w:val="pl-PL"/>
              </w:rPr>
              <w:t>oslanja - ako</w:t>
            </w:r>
            <w:r w:rsidRPr="00921BA7">
              <w:rPr>
                <w:rFonts w:ascii="Titillium" w:hAnsi="Titillium"/>
                <w:i/>
                <w:sz w:val="20"/>
                <w:szCs w:val="20"/>
                <w:lang w:val="pl-PL"/>
              </w:rPr>
              <w:t xml:space="preserve"> je primjenjivo;</w:t>
            </w:r>
            <w:bookmarkEnd w:id="26"/>
            <w:bookmarkEnd w:id="27"/>
          </w:p>
        </w:tc>
      </w:tr>
    </w:tbl>
    <w:p w14:paraId="07056E69" w14:textId="77777777" w:rsidR="00921BA7" w:rsidRPr="00921BA7" w:rsidRDefault="00921BA7" w:rsidP="00921BA7">
      <w:pPr>
        <w:pStyle w:val="NoSpacing"/>
        <w:rPr>
          <w:rFonts w:ascii="Titillium" w:hAnsi="Titillium"/>
          <w:sz w:val="20"/>
          <w:szCs w:val="20"/>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6804"/>
      </w:tblGrid>
      <w:tr w:rsidR="00921BA7" w:rsidRPr="00921BA7" w14:paraId="466EDF49" w14:textId="77777777" w:rsidTr="00404C15">
        <w:tc>
          <w:tcPr>
            <w:tcW w:w="9498" w:type="dxa"/>
            <w:gridSpan w:val="2"/>
            <w:shd w:val="clear" w:color="auto" w:fill="DEEAF6" w:themeFill="accent1" w:themeFillTint="33"/>
          </w:tcPr>
          <w:p w14:paraId="76697308" w14:textId="77777777" w:rsidR="00921BA7" w:rsidRPr="00921BA7" w:rsidRDefault="00921BA7" w:rsidP="00921BA7">
            <w:pPr>
              <w:spacing w:after="0" w:line="240" w:lineRule="auto"/>
              <w:rPr>
                <w:rFonts w:ascii="Titillium" w:hAnsi="Titillium"/>
                <w:b/>
                <w:sz w:val="20"/>
                <w:szCs w:val="20"/>
                <w:lang w:val="en-US"/>
              </w:rPr>
            </w:pPr>
            <w:r w:rsidRPr="00921BA7">
              <w:rPr>
                <w:rFonts w:ascii="Titillium" w:hAnsi="Titillium"/>
                <w:b/>
                <w:sz w:val="20"/>
                <w:szCs w:val="20"/>
                <w:lang w:val="en-US"/>
              </w:rPr>
              <w:t>OBVEZNE OSNOVE ZA ISKLJUČENJE</w:t>
            </w:r>
          </w:p>
        </w:tc>
      </w:tr>
      <w:tr w:rsidR="00921BA7" w:rsidRPr="00921BA7" w14:paraId="776EE5A9" w14:textId="77777777" w:rsidTr="003A2B35">
        <w:tc>
          <w:tcPr>
            <w:tcW w:w="2694" w:type="dxa"/>
          </w:tcPr>
          <w:p w14:paraId="2678C438" w14:textId="77777777" w:rsidR="00921BA7" w:rsidRPr="00921BA7" w:rsidRDefault="00921BA7" w:rsidP="00921BA7">
            <w:pPr>
              <w:spacing w:after="0" w:line="240" w:lineRule="auto"/>
              <w:rPr>
                <w:rFonts w:ascii="Titillium" w:hAnsi="Titillium"/>
                <w:b/>
                <w:sz w:val="20"/>
                <w:szCs w:val="20"/>
                <w:lang w:val="en-US"/>
              </w:rPr>
            </w:pPr>
            <w:proofErr w:type="spellStart"/>
            <w:r w:rsidRPr="00921BA7">
              <w:rPr>
                <w:rFonts w:ascii="Titillium" w:hAnsi="Titillium"/>
                <w:b/>
                <w:sz w:val="20"/>
                <w:szCs w:val="20"/>
                <w:lang w:val="en-US"/>
              </w:rPr>
              <w:t>Točka</w:t>
            </w:r>
            <w:proofErr w:type="spellEnd"/>
            <w:r w:rsidRPr="00921BA7">
              <w:rPr>
                <w:rFonts w:ascii="Titillium" w:hAnsi="Titillium"/>
                <w:b/>
                <w:sz w:val="20"/>
                <w:szCs w:val="20"/>
                <w:lang w:val="en-US"/>
              </w:rPr>
              <w:t xml:space="preserve"> 3.1.</w:t>
            </w:r>
          </w:p>
          <w:p w14:paraId="020C63E0" w14:textId="77777777" w:rsidR="00921BA7" w:rsidRPr="00921BA7" w:rsidRDefault="00921BA7" w:rsidP="00921BA7">
            <w:pPr>
              <w:spacing w:after="0" w:line="240" w:lineRule="auto"/>
              <w:rPr>
                <w:rFonts w:ascii="Titillium" w:hAnsi="Titillium"/>
                <w:b/>
                <w:sz w:val="20"/>
                <w:szCs w:val="20"/>
                <w:lang w:val="en-US"/>
              </w:rPr>
            </w:pPr>
            <w:proofErr w:type="spellStart"/>
            <w:r w:rsidRPr="00921BA7">
              <w:rPr>
                <w:rFonts w:ascii="Titillium" w:hAnsi="Titillium"/>
                <w:b/>
                <w:sz w:val="20"/>
                <w:szCs w:val="20"/>
                <w:lang w:val="en-US"/>
              </w:rPr>
              <w:t>Dokumentacije</w:t>
            </w:r>
            <w:proofErr w:type="spellEnd"/>
            <w:r w:rsidRPr="00921BA7">
              <w:rPr>
                <w:rFonts w:ascii="Titillium" w:hAnsi="Titillium"/>
                <w:b/>
                <w:sz w:val="20"/>
                <w:szCs w:val="20"/>
                <w:lang w:val="en-US"/>
              </w:rPr>
              <w:t xml:space="preserve"> o </w:t>
            </w:r>
            <w:proofErr w:type="spellStart"/>
            <w:r w:rsidRPr="00921BA7">
              <w:rPr>
                <w:rFonts w:ascii="Titillium" w:hAnsi="Titillium"/>
                <w:b/>
                <w:sz w:val="20"/>
                <w:szCs w:val="20"/>
                <w:lang w:val="en-US"/>
              </w:rPr>
              <w:t>nabavi</w:t>
            </w:r>
            <w:proofErr w:type="spellEnd"/>
          </w:p>
        </w:tc>
        <w:tc>
          <w:tcPr>
            <w:tcW w:w="6804" w:type="dxa"/>
          </w:tcPr>
          <w:p w14:paraId="30603F73" w14:textId="77777777" w:rsidR="00921BA7" w:rsidRPr="00921BA7" w:rsidRDefault="00921BA7" w:rsidP="00921BA7">
            <w:pPr>
              <w:autoSpaceDE w:val="0"/>
              <w:autoSpaceDN w:val="0"/>
              <w:adjustRightInd w:val="0"/>
              <w:spacing w:after="0" w:line="240" w:lineRule="auto"/>
              <w:jc w:val="both"/>
              <w:rPr>
                <w:rFonts w:ascii="Titillium" w:hAnsi="Titillium"/>
                <w:sz w:val="20"/>
                <w:szCs w:val="20"/>
                <w:lang w:val="en-US"/>
              </w:rPr>
            </w:pPr>
            <w:proofErr w:type="spellStart"/>
            <w:r w:rsidRPr="00921BA7">
              <w:rPr>
                <w:rFonts w:ascii="Titillium" w:hAnsi="Titillium" w:cs="Tahoma"/>
                <w:sz w:val="20"/>
                <w:szCs w:val="20"/>
                <w:lang w:val="en-US"/>
              </w:rPr>
              <w:t>Dio</w:t>
            </w:r>
            <w:proofErr w:type="spellEnd"/>
            <w:r w:rsidRPr="00921BA7">
              <w:rPr>
                <w:rFonts w:ascii="Titillium" w:hAnsi="Titillium" w:cs="Tahoma"/>
                <w:sz w:val="20"/>
                <w:szCs w:val="20"/>
                <w:lang w:val="en-US"/>
              </w:rPr>
              <w:t xml:space="preserve"> III. </w:t>
            </w:r>
            <w:proofErr w:type="spellStart"/>
            <w:r w:rsidRPr="00921BA7">
              <w:rPr>
                <w:rFonts w:ascii="Titillium" w:hAnsi="Titillium" w:cs="Tahoma"/>
                <w:sz w:val="20"/>
                <w:szCs w:val="20"/>
                <w:lang w:val="en-US"/>
              </w:rPr>
              <w:t>Osnove</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za</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isključenje</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Odjeljak</w:t>
            </w:r>
            <w:proofErr w:type="spellEnd"/>
            <w:r w:rsidRPr="00921BA7">
              <w:rPr>
                <w:rFonts w:ascii="Titillium" w:hAnsi="Titillium" w:cs="Tahoma"/>
                <w:sz w:val="20"/>
                <w:szCs w:val="20"/>
                <w:lang w:val="en-US"/>
              </w:rPr>
              <w:t xml:space="preserve"> A: </w:t>
            </w:r>
            <w:proofErr w:type="spellStart"/>
            <w:r w:rsidRPr="00921BA7">
              <w:rPr>
                <w:rFonts w:ascii="Titillium" w:hAnsi="Titillium" w:cs="Tahoma"/>
                <w:sz w:val="20"/>
                <w:szCs w:val="20"/>
                <w:lang w:val="en-US"/>
              </w:rPr>
              <w:t>Osnove</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povezane</w:t>
            </w:r>
            <w:proofErr w:type="spellEnd"/>
            <w:r w:rsidRPr="00921BA7">
              <w:rPr>
                <w:rFonts w:ascii="Titillium" w:hAnsi="Titillium" w:cs="Tahoma"/>
                <w:sz w:val="20"/>
                <w:szCs w:val="20"/>
                <w:lang w:val="en-US"/>
              </w:rPr>
              <w:t xml:space="preserve"> s </w:t>
            </w:r>
            <w:proofErr w:type="spellStart"/>
            <w:r w:rsidRPr="00921BA7">
              <w:rPr>
                <w:rFonts w:ascii="Titillium" w:hAnsi="Titillium" w:cs="Tahoma"/>
                <w:sz w:val="20"/>
                <w:szCs w:val="20"/>
                <w:lang w:val="en-US"/>
              </w:rPr>
              <w:t>kaznenim</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presudama</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i</w:t>
            </w:r>
            <w:proofErr w:type="spellEnd"/>
            <w:r w:rsidRPr="00921BA7">
              <w:rPr>
                <w:rFonts w:ascii="Titillium" w:hAnsi="Titillium" w:cs="Tahoma"/>
                <w:sz w:val="20"/>
                <w:szCs w:val="20"/>
                <w:lang w:val="en-US"/>
              </w:rPr>
              <w:t xml:space="preserve"> to </w:t>
            </w:r>
            <w:proofErr w:type="spellStart"/>
            <w:r w:rsidRPr="00921BA7">
              <w:rPr>
                <w:rFonts w:ascii="Titillium" w:hAnsi="Titillium" w:cs="Tahoma"/>
                <w:sz w:val="20"/>
                <w:szCs w:val="20"/>
                <w:lang w:val="en-US"/>
              </w:rPr>
              <w:t>za</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sve</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gospodarske</w:t>
            </w:r>
            <w:proofErr w:type="spellEnd"/>
            <w:r w:rsidRPr="00921BA7">
              <w:rPr>
                <w:rFonts w:ascii="Titillium" w:hAnsi="Titillium" w:cs="Tahoma"/>
                <w:sz w:val="20"/>
                <w:szCs w:val="20"/>
                <w:lang w:val="en-US"/>
              </w:rPr>
              <w:t xml:space="preserve"> </w:t>
            </w:r>
            <w:proofErr w:type="spellStart"/>
            <w:r w:rsidRPr="00921BA7">
              <w:rPr>
                <w:rFonts w:ascii="Titillium" w:hAnsi="Titillium" w:cs="Tahoma"/>
                <w:bCs/>
                <w:sz w:val="20"/>
                <w:szCs w:val="20"/>
                <w:lang w:val="en-US"/>
              </w:rPr>
              <w:t>subjekte</w:t>
            </w:r>
            <w:proofErr w:type="spellEnd"/>
            <w:r w:rsidRPr="00921BA7">
              <w:rPr>
                <w:rFonts w:ascii="Titillium" w:hAnsi="Titillium" w:cs="Tahoma"/>
                <w:bCs/>
                <w:sz w:val="20"/>
                <w:szCs w:val="20"/>
                <w:lang w:val="en-US"/>
              </w:rPr>
              <w:t xml:space="preserve"> u </w:t>
            </w:r>
            <w:proofErr w:type="spellStart"/>
            <w:r w:rsidRPr="00921BA7">
              <w:rPr>
                <w:rFonts w:ascii="Titillium" w:hAnsi="Titillium" w:cs="Tahoma"/>
                <w:bCs/>
                <w:sz w:val="20"/>
                <w:szCs w:val="20"/>
                <w:lang w:val="en-US"/>
              </w:rPr>
              <w:t>ponudi</w:t>
            </w:r>
            <w:proofErr w:type="spellEnd"/>
          </w:p>
        </w:tc>
      </w:tr>
      <w:tr w:rsidR="00921BA7" w:rsidRPr="00921BA7" w14:paraId="62470F74" w14:textId="77777777" w:rsidTr="003A2B35">
        <w:tc>
          <w:tcPr>
            <w:tcW w:w="2694" w:type="dxa"/>
          </w:tcPr>
          <w:p w14:paraId="746D6ECA" w14:textId="77777777" w:rsidR="00921BA7" w:rsidRPr="00921BA7" w:rsidRDefault="00921BA7" w:rsidP="00921BA7">
            <w:pPr>
              <w:spacing w:after="0" w:line="240" w:lineRule="auto"/>
              <w:rPr>
                <w:rFonts w:ascii="Titillium" w:hAnsi="Titillium"/>
                <w:b/>
                <w:sz w:val="20"/>
                <w:szCs w:val="20"/>
                <w:lang w:val="en-US"/>
              </w:rPr>
            </w:pPr>
            <w:proofErr w:type="spellStart"/>
            <w:r w:rsidRPr="00921BA7">
              <w:rPr>
                <w:rFonts w:ascii="Titillium" w:hAnsi="Titillium"/>
                <w:b/>
                <w:sz w:val="20"/>
                <w:szCs w:val="20"/>
                <w:lang w:val="en-US"/>
              </w:rPr>
              <w:t>Točka</w:t>
            </w:r>
            <w:proofErr w:type="spellEnd"/>
            <w:r w:rsidRPr="00921BA7">
              <w:rPr>
                <w:rFonts w:ascii="Titillium" w:hAnsi="Titillium"/>
                <w:b/>
                <w:sz w:val="20"/>
                <w:szCs w:val="20"/>
                <w:lang w:val="en-US"/>
              </w:rPr>
              <w:t xml:space="preserve"> 3.2.</w:t>
            </w:r>
          </w:p>
          <w:p w14:paraId="254038E4" w14:textId="77777777" w:rsidR="00921BA7" w:rsidRPr="00921BA7" w:rsidRDefault="00921BA7" w:rsidP="00921BA7">
            <w:pPr>
              <w:spacing w:after="0" w:line="240" w:lineRule="auto"/>
              <w:rPr>
                <w:rFonts w:ascii="Titillium" w:hAnsi="Titillium"/>
                <w:b/>
                <w:sz w:val="20"/>
                <w:szCs w:val="20"/>
                <w:lang w:val="en-US"/>
              </w:rPr>
            </w:pPr>
            <w:proofErr w:type="spellStart"/>
            <w:r w:rsidRPr="00921BA7">
              <w:rPr>
                <w:rFonts w:ascii="Titillium" w:hAnsi="Titillium"/>
                <w:b/>
                <w:sz w:val="20"/>
                <w:szCs w:val="20"/>
                <w:lang w:val="en-US"/>
              </w:rPr>
              <w:t>Dokumentacije</w:t>
            </w:r>
            <w:proofErr w:type="spellEnd"/>
            <w:r w:rsidRPr="00921BA7">
              <w:rPr>
                <w:rFonts w:ascii="Titillium" w:hAnsi="Titillium"/>
                <w:b/>
                <w:sz w:val="20"/>
                <w:szCs w:val="20"/>
                <w:lang w:val="en-US"/>
              </w:rPr>
              <w:t xml:space="preserve"> o </w:t>
            </w:r>
            <w:proofErr w:type="spellStart"/>
            <w:r w:rsidRPr="00921BA7">
              <w:rPr>
                <w:rFonts w:ascii="Titillium" w:hAnsi="Titillium"/>
                <w:b/>
                <w:sz w:val="20"/>
                <w:szCs w:val="20"/>
                <w:lang w:val="en-US"/>
              </w:rPr>
              <w:t>nabavi</w:t>
            </w:r>
            <w:proofErr w:type="spellEnd"/>
          </w:p>
        </w:tc>
        <w:tc>
          <w:tcPr>
            <w:tcW w:w="6804" w:type="dxa"/>
          </w:tcPr>
          <w:p w14:paraId="2BD33FE5" w14:textId="69BB9251" w:rsidR="00921BA7" w:rsidRPr="00921BA7" w:rsidRDefault="00921BA7" w:rsidP="00921BA7">
            <w:pPr>
              <w:autoSpaceDE w:val="0"/>
              <w:autoSpaceDN w:val="0"/>
              <w:adjustRightInd w:val="0"/>
              <w:spacing w:after="0" w:line="240" w:lineRule="auto"/>
              <w:jc w:val="both"/>
              <w:rPr>
                <w:rFonts w:ascii="Titillium" w:hAnsi="Titillium"/>
                <w:sz w:val="20"/>
                <w:szCs w:val="20"/>
                <w:lang w:val="en-US"/>
              </w:rPr>
            </w:pPr>
            <w:proofErr w:type="spellStart"/>
            <w:r w:rsidRPr="00921BA7">
              <w:rPr>
                <w:rFonts w:ascii="Titillium" w:hAnsi="Titillium" w:cs="Tahoma"/>
                <w:bCs/>
                <w:sz w:val="20"/>
                <w:szCs w:val="20"/>
                <w:lang w:val="en-US"/>
              </w:rPr>
              <w:t>Dio</w:t>
            </w:r>
            <w:proofErr w:type="spellEnd"/>
            <w:r w:rsidRPr="00921BA7">
              <w:rPr>
                <w:rFonts w:ascii="Titillium" w:hAnsi="Titillium" w:cs="Tahoma"/>
                <w:bCs/>
                <w:sz w:val="20"/>
                <w:szCs w:val="20"/>
                <w:lang w:val="en-US"/>
              </w:rPr>
              <w:t xml:space="preserve"> III. </w:t>
            </w:r>
            <w:proofErr w:type="spellStart"/>
            <w:r w:rsidRPr="00921BA7">
              <w:rPr>
                <w:rFonts w:ascii="Titillium" w:hAnsi="Titillium" w:cs="Tahoma"/>
                <w:bCs/>
                <w:sz w:val="20"/>
                <w:szCs w:val="20"/>
                <w:lang w:val="en-US"/>
              </w:rPr>
              <w:t>Osnove</w:t>
            </w:r>
            <w:proofErr w:type="spellEnd"/>
            <w:r w:rsidRPr="00921BA7">
              <w:rPr>
                <w:rFonts w:ascii="Titillium" w:hAnsi="Titillium" w:cs="Tahoma"/>
                <w:bCs/>
                <w:sz w:val="20"/>
                <w:szCs w:val="20"/>
                <w:lang w:val="en-US"/>
              </w:rPr>
              <w:t xml:space="preserve"> </w:t>
            </w:r>
            <w:proofErr w:type="spellStart"/>
            <w:r w:rsidRPr="00921BA7">
              <w:rPr>
                <w:rFonts w:ascii="Titillium" w:hAnsi="Titillium" w:cs="Tahoma"/>
                <w:bCs/>
                <w:sz w:val="20"/>
                <w:szCs w:val="20"/>
                <w:lang w:val="en-US"/>
              </w:rPr>
              <w:t>za</w:t>
            </w:r>
            <w:proofErr w:type="spellEnd"/>
            <w:r w:rsidRPr="00921BA7">
              <w:rPr>
                <w:rFonts w:ascii="Titillium" w:hAnsi="Titillium" w:cs="Tahoma"/>
                <w:bCs/>
                <w:sz w:val="20"/>
                <w:szCs w:val="20"/>
                <w:lang w:val="en-US"/>
              </w:rPr>
              <w:t xml:space="preserve"> </w:t>
            </w:r>
            <w:proofErr w:type="spellStart"/>
            <w:r w:rsidRPr="00921BA7">
              <w:rPr>
                <w:rFonts w:ascii="Titillium" w:hAnsi="Titillium" w:cs="Tahoma"/>
                <w:bCs/>
                <w:sz w:val="20"/>
                <w:szCs w:val="20"/>
                <w:lang w:val="en-US"/>
              </w:rPr>
              <w:t>isključenje</w:t>
            </w:r>
            <w:proofErr w:type="spellEnd"/>
            <w:r w:rsidRPr="00921BA7">
              <w:rPr>
                <w:rFonts w:ascii="Titillium" w:hAnsi="Titillium" w:cs="Tahoma"/>
                <w:bCs/>
                <w:sz w:val="20"/>
                <w:szCs w:val="20"/>
                <w:lang w:val="en-US"/>
              </w:rPr>
              <w:t xml:space="preserve">, </w:t>
            </w:r>
            <w:proofErr w:type="spellStart"/>
            <w:r w:rsidRPr="00921BA7">
              <w:rPr>
                <w:rFonts w:ascii="Titillium" w:hAnsi="Titillium" w:cs="Tahoma"/>
                <w:bCs/>
                <w:sz w:val="20"/>
                <w:szCs w:val="20"/>
                <w:lang w:val="en-US"/>
              </w:rPr>
              <w:t>Odjeljak</w:t>
            </w:r>
            <w:proofErr w:type="spellEnd"/>
            <w:r w:rsidRPr="00921BA7">
              <w:rPr>
                <w:rFonts w:ascii="Titillium" w:hAnsi="Titillium" w:cs="Tahoma"/>
                <w:bCs/>
                <w:sz w:val="20"/>
                <w:szCs w:val="20"/>
                <w:lang w:val="en-US"/>
              </w:rPr>
              <w:t xml:space="preserve"> B: </w:t>
            </w:r>
            <w:proofErr w:type="spellStart"/>
            <w:r w:rsidRPr="00921BA7">
              <w:rPr>
                <w:rFonts w:ascii="Titillium" w:hAnsi="Titillium" w:cs="Tahoma"/>
                <w:bCs/>
                <w:sz w:val="20"/>
                <w:szCs w:val="20"/>
                <w:lang w:val="en-US"/>
              </w:rPr>
              <w:t>Osnove</w:t>
            </w:r>
            <w:proofErr w:type="spellEnd"/>
            <w:r w:rsidRPr="00921BA7">
              <w:rPr>
                <w:rFonts w:ascii="Titillium" w:hAnsi="Titillium" w:cs="Tahoma"/>
                <w:bCs/>
                <w:sz w:val="20"/>
                <w:szCs w:val="20"/>
                <w:lang w:val="en-US"/>
              </w:rPr>
              <w:t xml:space="preserve"> </w:t>
            </w:r>
            <w:proofErr w:type="spellStart"/>
            <w:r w:rsidRPr="00921BA7">
              <w:rPr>
                <w:rFonts w:ascii="Titillium" w:hAnsi="Titillium" w:cs="Tahoma"/>
                <w:bCs/>
                <w:sz w:val="20"/>
                <w:szCs w:val="20"/>
                <w:lang w:val="en-US"/>
              </w:rPr>
              <w:t>povezane</w:t>
            </w:r>
            <w:proofErr w:type="spellEnd"/>
            <w:r w:rsidRPr="00921BA7">
              <w:rPr>
                <w:rFonts w:ascii="Titillium" w:hAnsi="Titillium" w:cs="Tahoma"/>
                <w:bCs/>
                <w:sz w:val="20"/>
                <w:szCs w:val="20"/>
                <w:lang w:val="en-US"/>
              </w:rPr>
              <w:t xml:space="preserve"> s </w:t>
            </w:r>
            <w:proofErr w:type="spellStart"/>
            <w:r w:rsidRPr="00921BA7">
              <w:rPr>
                <w:rFonts w:ascii="Titillium" w:hAnsi="Titillium" w:cs="Tahoma"/>
                <w:bCs/>
                <w:sz w:val="20"/>
                <w:szCs w:val="20"/>
                <w:lang w:val="en-US"/>
              </w:rPr>
              <w:t>plaćanjem</w:t>
            </w:r>
            <w:proofErr w:type="spellEnd"/>
            <w:r w:rsidRPr="00921BA7">
              <w:rPr>
                <w:rFonts w:ascii="Titillium" w:hAnsi="Titillium" w:cs="Tahoma"/>
                <w:bCs/>
                <w:sz w:val="20"/>
                <w:szCs w:val="20"/>
                <w:lang w:val="en-US"/>
              </w:rPr>
              <w:t xml:space="preserve"> </w:t>
            </w:r>
            <w:proofErr w:type="spellStart"/>
            <w:r w:rsidRPr="00921BA7">
              <w:rPr>
                <w:rFonts w:ascii="Titillium" w:hAnsi="Titillium" w:cs="Tahoma"/>
                <w:bCs/>
                <w:sz w:val="20"/>
                <w:szCs w:val="20"/>
                <w:lang w:val="en-US"/>
              </w:rPr>
              <w:t>poreza</w:t>
            </w:r>
            <w:proofErr w:type="spellEnd"/>
            <w:r w:rsidRPr="00921BA7">
              <w:rPr>
                <w:rFonts w:ascii="Titillium" w:hAnsi="Titillium" w:cs="Tahoma"/>
                <w:bCs/>
                <w:sz w:val="20"/>
                <w:szCs w:val="20"/>
                <w:lang w:val="en-US"/>
              </w:rPr>
              <w:t xml:space="preserve"> </w:t>
            </w:r>
            <w:proofErr w:type="spellStart"/>
            <w:r w:rsidR="00240708" w:rsidRPr="00921BA7">
              <w:rPr>
                <w:rFonts w:ascii="Titillium" w:hAnsi="Titillium" w:cs="Tahoma"/>
                <w:bCs/>
                <w:sz w:val="20"/>
                <w:szCs w:val="20"/>
                <w:lang w:val="en-US"/>
              </w:rPr>
              <w:t>ili</w:t>
            </w:r>
            <w:proofErr w:type="spellEnd"/>
            <w:r w:rsidR="00240708" w:rsidRPr="00921BA7">
              <w:rPr>
                <w:rFonts w:ascii="Titillium" w:hAnsi="Titillium" w:cs="Tahoma"/>
                <w:bCs/>
                <w:sz w:val="20"/>
                <w:szCs w:val="20"/>
                <w:lang w:val="en-US"/>
              </w:rPr>
              <w:t xml:space="preserve"> </w:t>
            </w:r>
            <w:proofErr w:type="spellStart"/>
            <w:r w:rsidR="00240708" w:rsidRPr="00921BA7">
              <w:rPr>
                <w:rFonts w:ascii="Titillium" w:hAnsi="Titillium" w:cs="Tahoma"/>
                <w:bCs/>
                <w:sz w:val="20"/>
                <w:szCs w:val="20"/>
                <w:lang w:val="en-US"/>
              </w:rPr>
              <w:t>doprinosa</w:t>
            </w:r>
            <w:proofErr w:type="spellEnd"/>
            <w:r w:rsidR="00F53855">
              <w:rPr>
                <w:rFonts w:ascii="Titillium" w:hAnsi="Titillium" w:cs="Tahoma"/>
                <w:bCs/>
                <w:sz w:val="20"/>
                <w:szCs w:val="20"/>
                <w:lang w:val="en-US"/>
              </w:rPr>
              <w:t xml:space="preserve"> </w:t>
            </w:r>
            <w:proofErr w:type="spellStart"/>
            <w:r w:rsidR="00F53855">
              <w:rPr>
                <w:rFonts w:ascii="Titillium" w:hAnsi="Titillium" w:cs="Tahoma"/>
                <w:bCs/>
                <w:sz w:val="20"/>
                <w:szCs w:val="20"/>
                <w:lang w:val="en-US"/>
              </w:rPr>
              <w:t>za</w:t>
            </w:r>
            <w:proofErr w:type="spellEnd"/>
            <w:r w:rsidR="00F53855">
              <w:rPr>
                <w:rFonts w:ascii="Titillium" w:hAnsi="Titillium" w:cs="Tahoma"/>
                <w:bCs/>
                <w:sz w:val="20"/>
                <w:szCs w:val="20"/>
                <w:lang w:val="en-US"/>
              </w:rPr>
              <w:t xml:space="preserve"> </w:t>
            </w:r>
            <w:proofErr w:type="spellStart"/>
            <w:r w:rsidR="00F53855">
              <w:rPr>
                <w:rFonts w:ascii="Titillium" w:hAnsi="Titillium" w:cs="Tahoma"/>
                <w:bCs/>
                <w:sz w:val="20"/>
                <w:szCs w:val="20"/>
                <w:lang w:val="en-US"/>
              </w:rPr>
              <w:t>socijalno</w:t>
            </w:r>
            <w:proofErr w:type="spellEnd"/>
            <w:r w:rsidR="00F53855">
              <w:rPr>
                <w:rFonts w:ascii="Titillium" w:hAnsi="Titillium" w:cs="Tahoma"/>
                <w:bCs/>
                <w:sz w:val="20"/>
                <w:szCs w:val="20"/>
                <w:lang w:val="en-US"/>
              </w:rPr>
              <w:t xml:space="preserve"> </w:t>
            </w:r>
            <w:proofErr w:type="spellStart"/>
            <w:r w:rsidR="00F53855">
              <w:rPr>
                <w:rFonts w:ascii="Titillium" w:hAnsi="Titillium" w:cs="Tahoma"/>
                <w:bCs/>
                <w:sz w:val="20"/>
                <w:szCs w:val="20"/>
                <w:lang w:val="en-US"/>
              </w:rPr>
              <w:t>osiguranje</w:t>
            </w:r>
            <w:proofErr w:type="spellEnd"/>
            <w:r w:rsidRPr="00921BA7">
              <w:rPr>
                <w:rFonts w:ascii="Titillium" w:hAnsi="Titillium" w:cs="Tahoma"/>
                <w:bCs/>
                <w:sz w:val="20"/>
                <w:szCs w:val="20"/>
                <w:lang w:val="en-US"/>
              </w:rPr>
              <w:t xml:space="preserve"> </w:t>
            </w:r>
            <w:proofErr w:type="spellStart"/>
            <w:r w:rsidRPr="00921BA7">
              <w:rPr>
                <w:rFonts w:ascii="Titillium" w:hAnsi="Titillium" w:cs="Tahoma"/>
                <w:sz w:val="20"/>
                <w:szCs w:val="20"/>
                <w:lang w:val="en-US"/>
              </w:rPr>
              <w:t>i</w:t>
            </w:r>
            <w:proofErr w:type="spellEnd"/>
            <w:r w:rsidRPr="00921BA7">
              <w:rPr>
                <w:rFonts w:ascii="Titillium" w:hAnsi="Titillium" w:cs="Tahoma"/>
                <w:sz w:val="20"/>
                <w:szCs w:val="20"/>
                <w:lang w:val="en-US"/>
              </w:rPr>
              <w:t xml:space="preserve"> to </w:t>
            </w:r>
            <w:proofErr w:type="spellStart"/>
            <w:r w:rsidRPr="00921BA7">
              <w:rPr>
                <w:rFonts w:ascii="Titillium" w:hAnsi="Titillium" w:cs="Tahoma"/>
                <w:sz w:val="20"/>
                <w:szCs w:val="20"/>
                <w:lang w:val="en-US"/>
              </w:rPr>
              <w:t>za</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sve</w:t>
            </w:r>
            <w:proofErr w:type="spellEnd"/>
            <w:r w:rsidRPr="00921BA7">
              <w:rPr>
                <w:rFonts w:ascii="Titillium" w:hAnsi="Titillium" w:cs="Tahoma"/>
                <w:sz w:val="20"/>
                <w:szCs w:val="20"/>
                <w:lang w:val="en-US"/>
              </w:rPr>
              <w:t xml:space="preserve"> </w:t>
            </w:r>
            <w:proofErr w:type="spellStart"/>
            <w:r w:rsidRPr="00921BA7">
              <w:rPr>
                <w:rFonts w:ascii="Titillium" w:hAnsi="Titillium" w:cs="Tahoma"/>
                <w:sz w:val="20"/>
                <w:szCs w:val="20"/>
                <w:lang w:val="en-US"/>
              </w:rPr>
              <w:t>gospodarske</w:t>
            </w:r>
            <w:proofErr w:type="spellEnd"/>
            <w:r w:rsidRPr="00921BA7">
              <w:rPr>
                <w:rFonts w:ascii="Titillium" w:hAnsi="Titillium" w:cs="Tahoma"/>
                <w:sz w:val="20"/>
                <w:szCs w:val="20"/>
                <w:lang w:val="en-US"/>
              </w:rPr>
              <w:t xml:space="preserve"> </w:t>
            </w:r>
            <w:proofErr w:type="spellStart"/>
            <w:r w:rsidRPr="00921BA7">
              <w:rPr>
                <w:rFonts w:ascii="Titillium" w:hAnsi="Titillium" w:cs="Tahoma"/>
                <w:bCs/>
                <w:sz w:val="20"/>
                <w:szCs w:val="20"/>
                <w:lang w:val="en-US"/>
              </w:rPr>
              <w:t>subjekte</w:t>
            </w:r>
            <w:proofErr w:type="spellEnd"/>
            <w:r w:rsidRPr="00921BA7">
              <w:rPr>
                <w:rFonts w:ascii="Titillium" w:hAnsi="Titillium" w:cs="Tahoma"/>
                <w:bCs/>
                <w:sz w:val="20"/>
                <w:szCs w:val="20"/>
                <w:lang w:val="en-US"/>
              </w:rPr>
              <w:t xml:space="preserve"> u </w:t>
            </w:r>
            <w:proofErr w:type="spellStart"/>
            <w:r w:rsidRPr="00921BA7">
              <w:rPr>
                <w:rFonts w:ascii="Titillium" w:hAnsi="Titillium" w:cs="Tahoma"/>
                <w:bCs/>
                <w:sz w:val="20"/>
                <w:szCs w:val="20"/>
                <w:lang w:val="en-US"/>
              </w:rPr>
              <w:t>ponudi</w:t>
            </w:r>
            <w:proofErr w:type="spellEnd"/>
            <w:r w:rsidRPr="00921BA7">
              <w:rPr>
                <w:rFonts w:ascii="Titillium" w:hAnsi="Titillium" w:cs="Tahoma"/>
                <w:bCs/>
                <w:sz w:val="20"/>
                <w:szCs w:val="20"/>
                <w:lang w:val="en-US"/>
              </w:rPr>
              <w:t>.</w:t>
            </w:r>
          </w:p>
        </w:tc>
      </w:tr>
    </w:tbl>
    <w:p w14:paraId="5B28B81F" w14:textId="77777777" w:rsidR="00921BA7" w:rsidRPr="00921BA7" w:rsidRDefault="00921BA7" w:rsidP="00921BA7">
      <w:pPr>
        <w:pStyle w:val="NoSpacing"/>
        <w:rPr>
          <w:rFonts w:ascii="Titillium" w:hAnsi="Titillium"/>
          <w:sz w:val="20"/>
          <w:szCs w:val="20"/>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6804"/>
      </w:tblGrid>
      <w:tr w:rsidR="00921BA7" w:rsidRPr="00921BA7" w14:paraId="73C8B59B" w14:textId="77777777" w:rsidTr="00404C15">
        <w:tc>
          <w:tcPr>
            <w:tcW w:w="9498" w:type="dxa"/>
            <w:gridSpan w:val="2"/>
            <w:shd w:val="clear" w:color="auto" w:fill="DEEAF6" w:themeFill="accent1" w:themeFillTint="33"/>
          </w:tcPr>
          <w:p w14:paraId="442C5514" w14:textId="77777777" w:rsidR="00921BA7" w:rsidRPr="00921BA7" w:rsidRDefault="00921BA7" w:rsidP="00921BA7">
            <w:pPr>
              <w:spacing w:after="0" w:line="240" w:lineRule="auto"/>
              <w:rPr>
                <w:rFonts w:ascii="Titillium" w:hAnsi="Titillium"/>
                <w:b/>
                <w:sz w:val="20"/>
                <w:szCs w:val="20"/>
                <w:lang w:val="en-US"/>
              </w:rPr>
            </w:pPr>
            <w:r w:rsidRPr="00921BA7">
              <w:rPr>
                <w:rFonts w:ascii="Titillium" w:hAnsi="Titillium" w:cs="Tahoma"/>
                <w:b/>
                <w:sz w:val="20"/>
                <w:szCs w:val="20"/>
                <w:lang w:val="pl-PL"/>
              </w:rPr>
              <w:t>KRITERIJI ZA ODABIR GOSPODARSKOG SUBJEKTA (UVJETI SPOSOBNOSTI)</w:t>
            </w:r>
          </w:p>
        </w:tc>
      </w:tr>
      <w:tr w:rsidR="00921BA7" w:rsidRPr="00921BA7" w14:paraId="11D25555" w14:textId="77777777" w:rsidTr="003A2B35">
        <w:tc>
          <w:tcPr>
            <w:tcW w:w="2694" w:type="dxa"/>
          </w:tcPr>
          <w:p w14:paraId="75EBF73D" w14:textId="77777777" w:rsidR="00921BA7" w:rsidRPr="00921BA7" w:rsidRDefault="00921BA7" w:rsidP="00921BA7">
            <w:pPr>
              <w:spacing w:after="0" w:line="240" w:lineRule="auto"/>
              <w:rPr>
                <w:rFonts w:ascii="Titillium" w:hAnsi="Titillium"/>
                <w:b/>
                <w:sz w:val="20"/>
                <w:szCs w:val="20"/>
                <w:lang w:val="en-US"/>
              </w:rPr>
            </w:pPr>
            <w:proofErr w:type="spellStart"/>
            <w:r w:rsidRPr="00921BA7">
              <w:rPr>
                <w:rFonts w:ascii="Titillium" w:hAnsi="Titillium"/>
                <w:b/>
                <w:sz w:val="20"/>
                <w:szCs w:val="20"/>
                <w:lang w:val="en-US"/>
              </w:rPr>
              <w:t>Točka</w:t>
            </w:r>
            <w:proofErr w:type="spellEnd"/>
            <w:r w:rsidRPr="00921BA7">
              <w:rPr>
                <w:rFonts w:ascii="Titillium" w:hAnsi="Titillium"/>
                <w:b/>
                <w:sz w:val="20"/>
                <w:szCs w:val="20"/>
                <w:lang w:val="en-US"/>
              </w:rPr>
              <w:t xml:space="preserve"> 4.1.</w:t>
            </w:r>
          </w:p>
          <w:p w14:paraId="7878C9C8" w14:textId="77777777" w:rsidR="00921BA7" w:rsidRPr="00921BA7" w:rsidRDefault="00921BA7" w:rsidP="00921BA7">
            <w:pPr>
              <w:spacing w:after="0" w:line="240" w:lineRule="auto"/>
              <w:rPr>
                <w:rFonts w:ascii="Titillium" w:hAnsi="Titillium"/>
                <w:b/>
                <w:sz w:val="20"/>
                <w:szCs w:val="20"/>
                <w:lang w:val="en-US"/>
              </w:rPr>
            </w:pPr>
            <w:proofErr w:type="spellStart"/>
            <w:r w:rsidRPr="00921BA7">
              <w:rPr>
                <w:rFonts w:ascii="Titillium" w:hAnsi="Titillium"/>
                <w:b/>
                <w:sz w:val="20"/>
                <w:szCs w:val="20"/>
                <w:lang w:val="en-US"/>
              </w:rPr>
              <w:t>Dokumentacije</w:t>
            </w:r>
            <w:proofErr w:type="spellEnd"/>
            <w:r w:rsidRPr="00921BA7">
              <w:rPr>
                <w:rFonts w:ascii="Titillium" w:hAnsi="Titillium"/>
                <w:b/>
                <w:sz w:val="20"/>
                <w:szCs w:val="20"/>
                <w:lang w:val="en-US"/>
              </w:rPr>
              <w:t xml:space="preserve"> o </w:t>
            </w:r>
            <w:proofErr w:type="spellStart"/>
            <w:r w:rsidRPr="00921BA7">
              <w:rPr>
                <w:rFonts w:ascii="Titillium" w:hAnsi="Titillium"/>
                <w:b/>
                <w:sz w:val="20"/>
                <w:szCs w:val="20"/>
                <w:lang w:val="en-US"/>
              </w:rPr>
              <w:t>nabavi</w:t>
            </w:r>
            <w:proofErr w:type="spellEnd"/>
          </w:p>
        </w:tc>
        <w:tc>
          <w:tcPr>
            <w:tcW w:w="6804" w:type="dxa"/>
          </w:tcPr>
          <w:p w14:paraId="4CE1E9C7" w14:textId="77777777" w:rsidR="00921BA7" w:rsidRPr="00921BA7" w:rsidRDefault="00921BA7" w:rsidP="00921BA7">
            <w:pPr>
              <w:autoSpaceDE w:val="0"/>
              <w:autoSpaceDN w:val="0"/>
              <w:adjustRightInd w:val="0"/>
              <w:spacing w:after="0" w:line="240" w:lineRule="auto"/>
              <w:jc w:val="both"/>
              <w:rPr>
                <w:rFonts w:ascii="Titillium" w:hAnsi="Titillium"/>
                <w:sz w:val="20"/>
                <w:szCs w:val="20"/>
                <w:lang w:val="en-US"/>
              </w:rPr>
            </w:pPr>
            <w:proofErr w:type="spellStart"/>
            <w:r w:rsidRPr="00921BA7">
              <w:rPr>
                <w:rFonts w:ascii="Titillium" w:hAnsi="Titillium" w:cs="Tahoma"/>
                <w:bCs/>
                <w:sz w:val="20"/>
                <w:szCs w:val="20"/>
                <w:lang w:val="en-US"/>
              </w:rPr>
              <w:t>Dio</w:t>
            </w:r>
            <w:proofErr w:type="spellEnd"/>
            <w:r w:rsidRPr="00921BA7">
              <w:rPr>
                <w:rFonts w:ascii="Titillium" w:hAnsi="Titillium" w:cs="Tahoma"/>
                <w:bCs/>
                <w:sz w:val="20"/>
                <w:szCs w:val="20"/>
                <w:lang w:val="en-US"/>
              </w:rPr>
              <w:t xml:space="preserve"> IV. </w:t>
            </w:r>
            <w:r w:rsidRPr="00921BA7">
              <w:rPr>
                <w:rFonts w:ascii="Titillium" w:hAnsi="Titillium" w:cs="Arial"/>
                <w:bCs/>
                <w:color w:val="000000"/>
                <w:sz w:val="20"/>
                <w:szCs w:val="20"/>
                <w:lang w:eastAsia="en-GB"/>
              </w:rPr>
              <w:t>Kriteriji za odabir</w:t>
            </w:r>
            <w:r w:rsidRPr="00921BA7">
              <w:rPr>
                <w:rFonts w:ascii="Titillium" w:hAnsi="Titillium" w:cs="Tahoma"/>
                <w:sz w:val="20"/>
                <w:szCs w:val="20"/>
                <w:lang w:val="en-US"/>
              </w:rPr>
              <w:t xml:space="preserve">, </w:t>
            </w:r>
            <w:r w:rsidRPr="00921BA7">
              <w:rPr>
                <w:rFonts w:ascii="Titillium" w:hAnsi="Titillium" w:cs="Arial"/>
                <w:bCs/>
                <w:color w:val="000000"/>
                <w:sz w:val="20"/>
                <w:szCs w:val="20"/>
                <w:lang w:eastAsia="en-GB"/>
              </w:rPr>
              <w:t>Odjeljak A: Sposobnost za obavljanje profesionalne djelatnosti: točka 1.</w:t>
            </w:r>
          </w:p>
        </w:tc>
      </w:tr>
      <w:tr w:rsidR="00CF152F" w:rsidRPr="00921BA7" w14:paraId="2103EFF6" w14:textId="77777777" w:rsidTr="003A2B35">
        <w:tc>
          <w:tcPr>
            <w:tcW w:w="2694" w:type="dxa"/>
          </w:tcPr>
          <w:p w14:paraId="40966549" w14:textId="77777777" w:rsidR="00CF152F" w:rsidRDefault="00CF152F" w:rsidP="008C35BB">
            <w:pPr>
              <w:spacing w:after="0" w:line="240" w:lineRule="auto"/>
              <w:rPr>
                <w:rFonts w:ascii="Titillium" w:hAnsi="Titillium"/>
                <w:b/>
                <w:sz w:val="20"/>
                <w:szCs w:val="20"/>
                <w:lang w:val="en-US"/>
              </w:rPr>
            </w:pPr>
            <w:proofErr w:type="spellStart"/>
            <w:r>
              <w:rPr>
                <w:rFonts w:ascii="Titillium" w:hAnsi="Titillium"/>
                <w:b/>
                <w:sz w:val="20"/>
                <w:szCs w:val="20"/>
                <w:lang w:val="en-US"/>
              </w:rPr>
              <w:t>Točka</w:t>
            </w:r>
            <w:proofErr w:type="spellEnd"/>
            <w:r>
              <w:rPr>
                <w:rFonts w:ascii="Titillium" w:hAnsi="Titillium"/>
                <w:b/>
                <w:sz w:val="20"/>
                <w:szCs w:val="20"/>
                <w:lang w:val="en-US"/>
              </w:rPr>
              <w:t xml:space="preserve"> 4.2.</w:t>
            </w:r>
          </w:p>
          <w:p w14:paraId="61501268" w14:textId="64B86F38" w:rsidR="00CF152F" w:rsidRPr="00921BA7" w:rsidRDefault="00CF152F" w:rsidP="00921BA7">
            <w:pPr>
              <w:spacing w:after="0" w:line="240" w:lineRule="auto"/>
              <w:rPr>
                <w:rFonts w:ascii="Titillium" w:hAnsi="Titillium"/>
                <w:b/>
                <w:sz w:val="20"/>
                <w:szCs w:val="20"/>
                <w:lang w:val="en-US"/>
              </w:rPr>
            </w:pPr>
            <w:proofErr w:type="spellStart"/>
            <w:r>
              <w:rPr>
                <w:rFonts w:ascii="Titillium" w:hAnsi="Titillium"/>
                <w:b/>
                <w:sz w:val="20"/>
                <w:szCs w:val="20"/>
                <w:lang w:val="en-US"/>
              </w:rPr>
              <w:t>Dokumentacije</w:t>
            </w:r>
            <w:proofErr w:type="spellEnd"/>
            <w:r>
              <w:rPr>
                <w:rFonts w:ascii="Titillium" w:hAnsi="Titillium"/>
                <w:b/>
                <w:sz w:val="20"/>
                <w:szCs w:val="20"/>
                <w:lang w:val="en-US"/>
              </w:rPr>
              <w:t xml:space="preserve"> o </w:t>
            </w:r>
            <w:proofErr w:type="spellStart"/>
            <w:r>
              <w:rPr>
                <w:rFonts w:ascii="Titillium" w:hAnsi="Titillium"/>
                <w:b/>
                <w:sz w:val="20"/>
                <w:szCs w:val="20"/>
                <w:lang w:val="en-US"/>
              </w:rPr>
              <w:t>nabavi</w:t>
            </w:r>
            <w:proofErr w:type="spellEnd"/>
          </w:p>
        </w:tc>
        <w:tc>
          <w:tcPr>
            <w:tcW w:w="6804" w:type="dxa"/>
          </w:tcPr>
          <w:p w14:paraId="57DEFFB0" w14:textId="128F9F0C" w:rsidR="00CF152F" w:rsidRPr="00921BA7" w:rsidRDefault="00CF152F" w:rsidP="00921BA7">
            <w:pPr>
              <w:autoSpaceDE w:val="0"/>
              <w:autoSpaceDN w:val="0"/>
              <w:adjustRightInd w:val="0"/>
              <w:spacing w:after="0" w:line="240" w:lineRule="auto"/>
              <w:jc w:val="both"/>
              <w:rPr>
                <w:rFonts w:ascii="Titillium" w:hAnsi="Titillium" w:cs="Tahoma"/>
                <w:bCs/>
                <w:sz w:val="20"/>
                <w:szCs w:val="20"/>
                <w:lang w:val="en-US"/>
              </w:rPr>
            </w:pPr>
            <w:proofErr w:type="spellStart"/>
            <w:r>
              <w:rPr>
                <w:rFonts w:ascii="Titillium" w:hAnsi="Titillium" w:cs="Tahoma"/>
                <w:bCs/>
                <w:sz w:val="20"/>
                <w:szCs w:val="20"/>
                <w:lang w:val="en-US"/>
              </w:rPr>
              <w:t>Dio</w:t>
            </w:r>
            <w:proofErr w:type="spellEnd"/>
            <w:r>
              <w:rPr>
                <w:rFonts w:ascii="Titillium" w:hAnsi="Titillium" w:cs="Tahoma"/>
                <w:bCs/>
                <w:sz w:val="20"/>
                <w:szCs w:val="20"/>
                <w:lang w:val="en-US"/>
              </w:rPr>
              <w:t xml:space="preserve"> IV. </w:t>
            </w:r>
            <w:proofErr w:type="spellStart"/>
            <w:r>
              <w:rPr>
                <w:rFonts w:ascii="Titillium" w:hAnsi="Titillium" w:cs="Tahoma"/>
                <w:bCs/>
                <w:sz w:val="20"/>
                <w:szCs w:val="20"/>
                <w:lang w:val="en-US"/>
              </w:rPr>
              <w:t>Kriterij</w:t>
            </w:r>
            <w:proofErr w:type="spellEnd"/>
            <w:r>
              <w:rPr>
                <w:rFonts w:ascii="Titillium" w:hAnsi="Titillium" w:cs="Tahoma"/>
                <w:bCs/>
                <w:sz w:val="20"/>
                <w:szCs w:val="20"/>
                <w:lang w:val="en-US"/>
              </w:rPr>
              <w:t xml:space="preserve"> </w:t>
            </w:r>
            <w:proofErr w:type="spellStart"/>
            <w:r>
              <w:rPr>
                <w:rFonts w:ascii="Titillium" w:hAnsi="Titillium" w:cs="Tahoma"/>
                <w:bCs/>
                <w:sz w:val="20"/>
                <w:szCs w:val="20"/>
                <w:lang w:val="en-US"/>
              </w:rPr>
              <w:t>za</w:t>
            </w:r>
            <w:proofErr w:type="spellEnd"/>
            <w:r>
              <w:rPr>
                <w:rFonts w:ascii="Titillium" w:hAnsi="Titillium" w:cs="Tahoma"/>
                <w:bCs/>
                <w:sz w:val="20"/>
                <w:szCs w:val="20"/>
                <w:lang w:val="en-US"/>
              </w:rPr>
              <w:t xml:space="preserve"> </w:t>
            </w:r>
            <w:proofErr w:type="spellStart"/>
            <w:r>
              <w:rPr>
                <w:rFonts w:ascii="Titillium" w:hAnsi="Titillium" w:cs="Tahoma"/>
                <w:bCs/>
                <w:sz w:val="20"/>
                <w:szCs w:val="20"/>
                <w:lang w:val="en-US"/>
              </w:rPr>
              <w:t>odabir</w:t>
            </w:r>
            <w:proofErr w:type="spellEnd"/>
            <w:r>
              <w:rPr>
                <w:rFonts w:ascii="Titillium" w:hAnsi="Titillium" w:cs="Tahoma"/>
                <w:bCs/>
                <w:sz w:val="20"/>
                <w:szCs w:val="20"/>
                <w:lang w:val="en-US"/>
              </w:rPr>
              <w:t xml:space="preserve">, </w:t>
            </w:r>
            <w:proofErr w:type="spellStart"/>
            <w:r>
              <w:rPr>
                <w:rFonts w:ascii="Titillium" w:hAnsi="Titillium" w:cs="Tahoma"/>
                <w:bCs/>
                <w:sz w:val="20"/>
                <w:szCs w:val="20"/>
                <w:lang w:val="en-US"/>
              </w:rPr>
              <w:t>odjeljak</w:t>
            </w:r>
            <w:proofErr w:type="spellEnd"/>
            <w:r>
              <w:rPr>
                <w:rFonts w:ascii="Titillium" w:hAnsi="Titillium" w:cs="Tahoma"/>
                <w:bCs/>
                <w:sz w:val="20"/>
                <w:szCs w:val="20"/>
                <w:lang w:val="en-US"/>
              </w:rPr>
              <w:t xml:space="preserve"> C: </w:t>
            </w:r>
            <w:proofErr w:type="spellStart"/>
            <w:r>
              <w:rPr>
                <w:rFonts w:ascii="Titillium" w:hAnsi="Titillium" w:cs="Tahoma"/>
                <w:bCs/>
                <w:sz w:val="20"/>
                <w:szCs w:val="20"/>
                <w:lang w:val="en-US"/>
              </w:rPr>
              <w:t>Tehnička</w:t>
            </w:r>
            <w:proofErr w:type="spellEnd"/>
            <w:r>
              <w:rPr>
                <w:rFonts w:ascii="Titillium" w:hAnsi="Titillium" w:cs="Tahoma"/>
                <w:bCs/>
                <w:sz w:val="20"/>
                <w:szCs w:val="20"/>
                <w:lang w:val="en-US"/>
              </w:rPr>
              <w:t xml:space="preserve"> </w:t>
            </w:r>
            <w:proofErr w:type="spellStart"/>
            <w:r>
              <w:rPr>
                <w:rFonts w:ascii="Titillium" w:hAnsi="Titillium" w:cs="Tahoma"/>
                <w:bCs/>
                <w:sz w:val="20"/>
                <w:szCs w:val="20"/>
                <w:lang w:val="en-US"/>
              </w:rPr>
              <w:t>i</w:t>
            </w:r>
            <w:proofErr w:type="spellEnd"/>
            <w:r>
              <w:rPr>
                <w:rFonts w:ascii="Titillium" w:hAnsi="Titillium" w:cs="Tahoma"/>
                <w:bCs/>
                <w:sz w:val="20"/>
                <w:szCs w:val="20"/>
                <w:lang w:val="en-US"/>
              </w:rPr>
              <w:t xml:space="preserve"> </w:t>
            </w:r>
            <w:proofErr w:type="spellStart"/>
            <w:r>
              <w:rPr>
                <w:rFonts w:ascii="Titillium" w:hAnsi="Titillium" w:cs="Tahoma"/>
                <w:bCs/>
                <w:sz w:val="20"/>
                <w:szCs w:val="20"/>
                <w:lang w:val="en-US"/>
              </w:rPr>
              <w:t>stručna</w:t>
            </w:r>
            <w:proofErr w:type="spellEnd"/>
            <w:r>
              <w:rPr>
                <w:rFonts w:ascii="Titillium" w:hAnsi="Titillium" w:cs="Tahoma"/>
                <w:bCs/>
                <w:sz w:val="20"/>
                <w:szCs w:val="20"/>
                <w:lang w:val="en-US"/>
              </w:rPr>
              <w:t xml:space="preserve"> </w:t>
            </w:r>
            <w:proofErr w:type="spellStart"/>
            <w:r>
              <w:rPr>
                <w:rFonts w:ascii="Titillium" w:hAnsi="Titillium" w:cs="Tahoma"/>
                <w:bCs/>
                <w:sz w:val="20"/>
                <w:szCs w:val="20"/>
                <w:lang w:val="en-US"/>
              </w:rPr>
              <w:t>sposobnost</w:t>
            </w:r>
            <w:proofErr w:type="spellEnd"/>
            <w:r>
              <w:rPr>
                <w:rFonts w:ascii="Titillium" w:hAnsi="Titillium" w:cs="Tahoma"/>
                <w:bCs/>
                <w:sz w:val="20"/>
                <w:szCs w:val="20"/>
                <w:lang w:val="en-US"/>
              </w:rPr>
              <w:t xml:space="preserve">: </w:t>
            </w:r>
            <w:proofErr w:type="spellStart"/>
            <w:r w:rsidRPr="000972CC">
              <w:rPr>
                <w:rFonts w:ascii="Titillium" w:hAnsi="Titillium" w:cs="Tahoma"/>
                <w:bCs/>
                <w:sz w:val="20"/>
                <w:szCs w:val="20"/>
                <w:lang w:val="en-US"/>
              </w:rPr>
              <w:t>točka</w:t>
            </w:r>
            <w:proofErr w:type="spellEnd"/>
            <w:r w:rsidRPr="000972CC">
              <w:rPr>
                <w:rFonts w:ascii="Titillium" w:hAnsi="Titillium" w:cs="Tahoma"/>
                <w:bCs/>
                <w:sz w:val="20"/>
                <w:szCs w:val="20"/>
                <w:lang w:val="en-US"/>
              </w:rPr>
              <w:t xml:space="preserve"> 2.</w:t>
            </w:r>
          </w:p>
        </w:tc>
      </w:tr>
    </w:tbl>
    <w:p w14:paraId="767C9D36" w14:textId="6D1E6EDA" w:rsidR="003A2B35" w:rsidRDefault="003A2B35" w:rsidP="003A2B35">
      <w:pPr>
        <w:pStyle w:val="NoSpacing"/>
        <w:jc w:val="both"/>
        <w:rPr>
          <w:rFonts w:ascii="Titillium" w:hAnsi="Titillium"/>
          <w:sz w:val="20"/>
          <w:szCs w:val="20"/>
        </w:rPr>
      </w:pPr>
    </w:p>
    <w:p w14:paraId="438F8EBE" w14:textId="77777777" w:rsidR="00794495" w:rsidRDefault="00794495" w:rsidP="003A2B35">
      <w:pPr>
        <w:pStyle w:val="NoSpacing"/>
        <w:jc w:val="both"/>
        <w:rPr>
          <w:rFonts w:ascii="Titillium" w:hAnsi="Titillium"/>
          <w:sz w:val="20"/>
          <w:szCs w:val="20"/>
        </w:rPr>
      </w:pPr>
    </w:p>
    <w:p w14:paraId="25A826F7" w14:textId="77777777" w:rsidR="003A2B35" w:rsidRDefault="003A2B35" w:rsidP="003A2B35">
      <w:pPr>
        <w:pStyle w:val="NoSpacing"/>
        <w:jc w:val="both"/>
        <w:rPr>
          <w:rFonts w:ascii="Titillium" w:hAnsi="Titillium"/>
          <w:b/>
        </w:rPr>
      </w:pPr>
      <w:r>
        <w:rPr>
          <w:rFonts w:ascii="Titillium" w:hAnsi="Titillium"/>
          <w:sz w:val="20"/>
          <w:szCs w:val="20"/>
        </w:rPr>
        <w:tab/>
      </w:r>
      <w:r w:rsidRPr="003A2B35">
        <w:rPr>
          <w:rFonts w:ascii="Titillium" w:hAnsi="Titillium"/>
          <w:b/>
        </w:rPr>
        <w:t xml:space="preserve">6. </w:t>
      </w:r>
      <w:r w:rsidRPr="003A2B35">
        <w:rPr>
          <w:rFonts w:ascii="Titillium" w:hAnsi="Titillium"/>
          <w:b/>
        </w:rPr>
        <w:tab/>
        <w:t>PODACI O PONUDI</w:t>
      </w:r>
    </w:p>
    <w:p w14:paraId="3EEB9F6E" w14:textId="77777777" w:rsidR="003A2B35" w:rsidRDefault="003A2B35" w:rsidP="003A2B35">
      <w:pPr>
        <w:pStyle w:val="NoSpacing"/>
        <w:jc w:val="both"/>
        <w:rPr>
          <w:rFonts w:ascii="Titillium" w:hAnsi="Titillium"/>
          <w:b/>
        </w:rPr>
      </w:pPr>
    </w:p>
    <w:p w14:paraId="705026A9" w14:textId="77777777" w:rsidR="003A2B35" w:rsidRPr="003A2B35" w:rsidRDefault="003A2B35" w:rsidP="003A2B35">
      <w:pPr>
        <w:pStyle w:val="NoSpacing"/>
        <w:jc w:val="both"/>
        <w:rPr>
          <w:rFonts w:ascii="Titillium" w:hAnsi="Titillium"/>
          <w:b/>
          <w:bCs/>
          <w:sz w:val="20"/>
          <w:szCs w:val="20"/>
        </w:rPr>
      </w:pPr>
      <w:r w:rsidRPr="003A2B35">
        <w:rPr>
          <w:rFonts w:ascii="Titillium" w:hAnsi="Titillium"/>
          <w:b/>
          <w:bCs/>
          <w:sz w:val="20"/>
          <w:szCs w:val="20"/>
        </w:rPr>
        <w:t xml:space="preserve">6.1. </w:t>
      </w:r>
      <w:r w:rsidRPr="003A2B35">
        <w:rPr>
          <w:rFonts w:ascii="Titillium" w:hAnsi="Titillium"/>
          <w:b/>
          <w:bCs/>
          <w:sz w:val="20"/>
          <w:szCs w:val="20"/>
        </w:rPr>
        <w:tab/>
        <w:t>Sadržaj i način izrade ponude</w:t>
      </w:r>
    </w:p>
    <w:p w14:paraId="4DE80A38" w14:textId="77777777" w:rsidR="003A2B35" w:rsidRPr="003A2B35" w:rsidRDefault="003A2B35" w:rsidP="003A2B35">
      <w:pPr>
        <w:pStyle w:val="NoSpacing"/>
        <w:jc w:val="both"/>
        <w:rPr>
          <w:rFonts w:ascii="Titillium" w:hAnsi="Titillium"/>
          <w:bCs/>
          <w:sz w:val="20"/>
          <w:szCs w:val="20"/>
        </w:rPr>
      </w:pPr>
      <w:r w:rsidRPr="003A2B35">
        <w:rPr>
          <w:rFonts w:ascii="Titillium" w:hAnsi="Titillium"/>
          <w:bCs/>
          <w:sz w:val="20"/>
          <w:szCs w:val="20"/>
        </w:rPr>
        <w:t xml:space="preserve">Ponuda je izjava volje ponuditelja u pisanom obliku da će isporučiti robu, pružiti usluge ili izvesti radove u skladu s uvjetima i zahtjevima iz dokumentacije o nabavi. </w:t>
      </w:r>
    </w:p>
    <w:p w14:paraId="59DCE4AD" w14:textId="77777777" w:rsidR="003A2B35" w:rsidRDefault="003A2B35" w:rsidP="003A2B35">
      <w:pPr>
        <w:pStyle w:val="NoSpacing"/>
        <w:jc w:val="both"/>
        <w:rPr>
          <w:rFonts w:ascii="Titillium" w:hAnsi="Titillium"/>
          <w:bCs/>
          <w:sz w:val="20"/>
          <w:szCs w:val="20"/>
        </w:rPr>
      </w:pPr>
      <w:r w:rsidRPr="003A2B35">
        <w:rPr>
          <w:rFonts w:ascii="Titillium" w:hAnsi="Titillium"/>
          <w:bCs/>
          <w:sz w:val="20"/>
          <w:szCs w:val="20"/>
        </w:rPr>
        <w:t>Pri izradi ponude ponuditelj se mora pridržavati zahtjeva i uvjeta iz dokumentacije o nabavi te ne smije mijenjati ni nadopunjavati tekst dokumentacije o nabavi.</w:t>
      </w:r>
    </w:p>
    <w:p w14:paraId="4E4A136C" w14:textId="77777777" w:rsidR="00224143" w:rsidRDefault="00224143" w:rsidP="003A2B35">
      <w:pPr>
        <w:pStyle w:val="NoSpacing"/>
        <w:jc w:val="both"/>
        <w:rPr>
          <w:rFonts w:ascii="Titillium" w:hAnsi="Titillium"/>
          <w:bCs/>
          <w:sz w:val="20"/>
          <w:szCs w:val="20"/>
        </w:rPr>
      </w:pPr>
    </w:p>
    <w:p w14:paraId="189500EA" w14:textId="01067475" w:rsidR="00224143" w:rsidRPr="00224143" w:rsidRDefault="00224143" w:rsidP="00224143">
      <w:pPr>
        <w:jc w:val="both"/>
        <w:rPr>
          <w:rFonts w:ascii="Titillium" w:hAnsi="Titillium"/>
          <w:b/>
          <w:sz w:val="20"/>
          <w:szCs w:val="20"/>
          <w:u w:val="single"/>
        </w:rPr>
      </w:pPr>
      <w:r w:rsidRPr="00224143">
        <w:rPr>
          <w:rFonts w:ascii="Titillium" w:hAnsi="Titillium"/>
          <w:b/>
          <w:sz w:val="20"/>
          <w:szCs w:val="20"/>
          <w:u w:val="single"/>
        </w:rPr>
        <w:t>Podnošenjem svoje ponude ponuditelj prihvaća sve uvjete navedene u ovoj Dokumentaciji o nabavi</w:t>
      </w:r>
      <w:r w:rsidR="000972CC">
        <w:rPr>
          <w:rFonts w:ascii="Titillium" w:hAnsi="Titillium"/>
          <w:b/>
          <w:sz w:val="20"/>
          <w:szCs w:val="20"/>
          <w:u w:val="single"/>
        </w:rPr>
        <w:t xml:space="preserve"> i Dodatku 1 – Opis posla</w:t>
      </w:r>
      <w:r w:rsidRPr="00224143">
        <w:rPr>
          <w:rFonts w:ascii="Titillium" w:hAnsi="Titillium"/>
          <w:b/>
          <w:sz w:val="20"/>
          <w:szCs w:val="20"/>
          <w:u w:val="single"/>
        </w:rPr>
        <w:t>.</w:t>
      </w:r>
    </w:p>
    <w:p w14:paraId="0A3DB4FD" w14:textId="77777777" w:rsidR="003A2B35" w:rsidRDefault="003A2B35" w:rsidP="003A2B35">
      <w:pPr>
        <w:pStyle w:val="NoSpacing"/>
        <w:jc w:val="both"/>
        <w:rPr>
          <w:rFonts w:ascii="Titillium" w:hAnsi="Titillium"/>
          <w:bCs/>
          <w:sz w:val="20"/>
          <w:szCs w:val="20"/>
        </w:rPr>
      </w:pPr>
    </w:p>
    <w:p w14:paraId="7C551636" w14:textId="6E95CF42" w:rsidR="003A2B35" w:rsidRPr="003A2B35" w:rsidRDefault="00224143" w:rsidP="003A2B35">
      <w:pPr>
        <w:pStyle w:val="NoSpacing"/>
        <w:jc w:val="both"/>
        <w:rPr>
          <w:rFonts w:ascii="Titillium" w:hAnsi="Titillium"/>
          <w:b/>
          <w:bCs/>
          <w:sz w:val="20"/>
          <w:szCs w:val="20"/>
        </w:rPr>
      </w:pPr>
      <w:r>
        <w:rPr>
          <w:rFonts w:ascii="Titillium" w:hAnsi="Titillium"/>
          <w:b/>
          <w:bCs/>
          <w:sz w:val="20"/>
          <w:szCs w:val="20"/>
        </w:rPr>
        <w:t>6.2</w:t>
      </w:r>
      <w:r w:rsidR="003A2B35" w:rsidRPr="003A2B35">
        <w:rPr>
          <w:rFonts w:ascii="Titillium" w:hAnsi="Titillium"/>
          <w:b/>
          <w:bCs/>
          <w:sz w:val="20"/>
          <w:szCs w:val="20"/>
        </w:rPr>
        <w:t>.</w:t>
      </w:r>
      <w:r w:rsidR="003A2B35" w:rsidRPr="003A2B35">
        <w:rPr>
          <w:rFonts w:ascii="Titillium" w:hAnsi="Titillium"/>
          <w:b/>
          <w:bCs/>
          <w:sz w:val="20"/>
          <w:szCs w:val="20"/>
        </w:rPr>
        <w:tab/>
        <w:t>Način izrade ponude koja se dostavlja elektroničkim sredstvima</w:t>
      </w:r>
    </w:p>
    <w:p w14:paraId="674220AF" w14:textId="77777777" w:rsidR="003A2B35" w:rsidRDefault="003A2B35" w:rsidP="003A2B35">
      <w:pPr>
        <w:pStyle w:val="NoSpacing"/>
        <w:jc w:val="both"/>
        <w:rPr>
          <w:rFonts w:ascii="Titillium" w:hAnsi="Titillium"/>
          <w:bCs/>
          <w:sz w:val="20"/>
          <w:szCs w:val="20"/>
        </w:rPr>
      </w:pPr>
      <w:r w:rsidRPr="003A2B35">
        <w:rPr>
          <w:rFonts w:ascii="Titillium" w:hAnsi="Titillium"/>
          <w:bCs/>
          <w:sz w:val="20"/>
          <w:szCs w:val="20"/>
        </w:rPr>
        <w:t>Ponuda se dostavlja elektroničkim sredstvima komunikacije putem EOJN RH, vezujući se na elektroničku objavu poziva na nadmetanje te na elektronički pristup Dokumentaciji o nabavi.</w:t>
      </w:r>
    </w:p>
    <w:p w14:paraId="6EECB835" w14:textId="77777777" w:rsidR="003A2B35" w:rsidRPr="003A2B35" w:rsidRDefault="003A2B35" w:rsidP="003A2B35">
      <w:pPr>
        <w:pStyle w:val="NoSpacing"/>
        <w:jc w:val="both"/>
        <w:rPr>
          <w:rFonts w:ascii="Titillium" w:hAnsi="Titillium"/>
          <w:bCs/>
          <w:sz w:val="20"/>
          <w:szCs w:val="20"/>
        </w:rPr>
      </w:pPr>
    </w:p>
    <w:p w14:paraId="0A63B2E8" w14:textId="77777777" w:rsidR="003A2B35" w:rsidRPr="003A2B35" w:rsidRDefault="003A2B35" w:rsidP="0011274C">
      <w:pPr>
        <w:pStyle w:val="NoSpacing"/>
        <w:jc w:val="both"/>
        <w:rPr>
          <w:rFonts w:ascii="Titillium" w:hAnsi="Titillium"/>
          <w:b/>
          <w:bCs/>
          <w:sz w:val="20"/>
          <w:szCs w:val="20"/>
          <w:u w:val="single"/>
        </w:rPr>
      </w:pPr>
      <w:r w:rsidRPr="003A2B35">
        <w:rPr>
          <w:rFonts w:ascii="Titillium" w:hAnsi="Titillium"/>
          <w:b/>
          <w:bCs/>
          <w:sz w:val="20"/>
          <w:szCs w:val="20"/>
          <w:u w:val="single"/>
        </w:rPr>
        <w:t>Smatra se da ponuda dostavljena elektroničkim sredstvima komunikacije putem EOJN RH obvezuje ponuditelja u roku valjanosti ponude neovisno o tome je li potpisana ili nije te naručitelj ne smije odbiti takvu ponudu samo zbog toga razloga.</w:t>
      </w:r>
    </w:p>
    <w:p w14:paraId="2DD32641" w14:textId="77777777" w:rsidR="003A2B35" w:rsidRPr="003A2B35" w:rsidRDefault="003A2B35" w:rsidP="0011274C">
      <w:pPr>
        <w:pStyle w:val="NoSpacing"/>
        <w:jc w:val="both"/>
        <w:rPr>
          <w:rFonts w:ascii="Titillium" w:hAnsi="Titillium"/>
          <w:bCs/>
          <w:sz w:val="20"/>
          <w:szCs w:val="20"/>
        </w:rPr>
      </w:pPr>
    </w:p>
    <w:p w14:paraId="186F5964" w14:textId="77777777" w:rsidR="003A2B35" w:rsidRPr="003A2B35" w:rsidRDefault="003A2B35" w:rsidP="0011274C">
      <w:pPr>
        <w:pStyle w:val="NoSpacing"/>
        <w:jc w:val="both"/>
        <w:rPr>
          <w:rFonts w:ascii="Titillium" w:hAnsi="Titillium"/>
          <w:bCs/>
          <w:sz w:val="20"/>
          <w:szCs w:val="20"/>
        </w:rPr>
      </w:pPr>
      <w:r w:rsidRPr="003A2B35">
        <w:rPr>
          <w:rFonts w:ascii="Titillium" w:hAnsi="Titillium"/>
          <w:bCs/>
          <w:sz w:val="20"/>
          <w:szCs w:val="20"/>
        </w:rPr>
        <w:t>Ponuditelj nije obvezan označiti stranice ponude koja se dostavlja elektroničkim sredstvima komunikacije.</w:t>
      </w:r>
    </w:p>
    <w:p w14:paraId="02C519A3" w14:textId="77777777" w:rsidR="0093446A" w:rsidRDefault="003A2B35" w:rsidP="0011274C">
      <w:pPr>
        <w:pStyle w:val="NoSpacing"/>
        <w:jc w:val="both"/>
        <w:rPr>
          <w:rFonts w:ascii="Titillium" w:hAnsi="Titillium"/>
          <w:bCs/>
          <w:sz w:val="20"/>
          <w:szCs w:val="20"/>
        </w:rPr>
      </w:pPr>
      <w:r w:rsidRPr="003A2B35">
        <w:rPr>
          <w:rFonts w:ascii="Titillium" w:hAnsi="Titillium"/>
          <w:bCs/>
          <w:sz w:val="20"/>
          <w:szCs w:val="20"/>
        </w:rPr>
        <w:t>Ponuditelj nije obvezan dostaviti presliku ponude koja se dostavlja elektroničkim sredstvima komunikacije.</w:t>
      </w:r>
    </w:p>
    <w:p w14:paraId="5E75408E" w14:textId="77777777" w:rsidR="003A2B35" w:rsidRDefault="003A2B35" w:rsidP="0011274C">
      <w:pPr>
        <w:pStyle w:val="NoSpacing"/>
        <w:jc w:val="both"/>
        <w:rPr>
          <w:rFonts w:ascii="Titillium" w:hAnsi="Titillium"/>
          <w:bCs/>
          <w:sz w:val="20"/>
          <w:szCs w:val="20"/>
        </w:rPr>
      </w:pPr>
    </w:p>
    <w:p w14:paraId="533A6639" w14:textId="77777777" w:rsidR="003A2B35" w:rsidRDefault="003A2B35" w:rsidP="0011274C">
      <w:pPr>
        <w:pStyle w:val="NoSpacing"/>
        <w:jc w:val="both"/>
        <w:rPr>
          <w:rFonts w:ascii="Titillium" w:hAnsi="Titillium"/>
          <w:bCs/>
          <w:sz w:val="20"/>
          <w:szCs w:val="20"/>
        </w:rPr>
      </w:pPr>
      <w:r w:rsidRPr="003A2B35">
        <w:rPr>
          <w:rFonts w:ascii="Titillium" w:hAnsi="Titillium"/>
          <w:bCs/>
          <w:sz w:val="20"/>
          <w:szCs w:val="20"/>
        </w:rPr>
        <w:t>Ako se dijelovi ponude dostavljaju sredstvima komunikacije koja nisu elektronička, ponuditelj mora u ponudi navesti koji dijelovi se tako dostavljaju.</w:t>
      </w:r>
    </w:p>
    <w:p w14:paraId="2EF875C2" w14:textId="568BA112" w:rsidR="003A2B35" w:rsidRDefault="003A2B35" w:rsidP="00F22193">
      <w:pPr>
        <w:pStyle w:val="NoSpacing"/>
        <w:jc w:val="both"/>
        <w:rPr>
          <w:rFonts w:ascii="Titillium" w:hAnsi="Titillium"/>
          <w:bCs/>
          <w:sz w:val="20"/>
          <w:szCs w:val="20"/>
        </w:rPr>
      </w:pPr>
      <w:r w:rsidRPr="003A2B35">
        <w:rPr>
          <w:rFonts w:ascii="Titillium" w:hAnsi="Titillium"/>
          <w:bCs/>
          <w:sz w:val="20"/>
          <w:szCs w:val="20"/>
        </w:rPr>
        <w:t xml:space="preserve">Ponuditelji kreiraju ponudu u sustavu EOJN RH koja sadrži sljedeće: </w:t>
      </w:r>
    </w:p>
    <w:p w14:paraId="14A5D9D3" w14:textId="1FFCE98C" w:rsidR="001C08AC" w:rsidRPr="00B627F0" w:rsidRDefault="00774EB6" w:rsidP="00F77A9D">
      <w:pPr>
        <w:pStyle w:val="NoSpacing"/>
        <w:numPr>
          <w:ilvl w:val="0"/>
          <w:numId w:val="24"/>
        </w:numPr>
        <w:jc w:val="both"/>
        <w:rPr>
          <w:rFonts w:ascii="Titillium" w:hAnsi="Titillium"/>
          <w:b/>
          <w:bCs/>
          <w:sz w:val="20"/>
          <w:szCs w:val="20"/>
        </w:rPr>
      </w:pPr>
      <w:r w:rsidRPr="00B627F0">
        <w:rPr>
          <w:rFonts w:ascii="Titillium" w:hAnsi="Titillium"/>
          <w:b/>
          <w:bCs/>
          <w:sz w:val="20"/>
          <w:szCs w:val="20"/>
        </w:rPr>
        <w:t>Uvez ponude čiji je sastavni dio popunjeni ponudbeni list</w:t>
      </w:r>
      <w:r w:rsidR="003A2B35" w:rsidRPr="00B627F0">
        <w:rPr>
          <w:rFonts w:ascii="Titillium" w:hAnsi="Titillium"/>
          <w:b/>
          <w:bCs/>
          <w:sz w:val="20"/>
          <w:szCs w:val="20"/>
        </w:rPr>
        <w:t xml:space="preserve"> sukladno </w:t>
      </w:r>
      <w:r w:rsidR="001C08AC" w:rsidRPr="00B627F0">
        <w:rPr>
          <w:rFonts w:ascii="Titillium" w:hAnsi="Titillium"/>
          <w:b/>
          <w:bCs/>
          <w:sz w:val="20"/>
          <w:szCs w:val="20"/>
        </w:rPr>
        <w:t>obrascu Elektroničkog</w:t>
      </w:r>
    </w:p>
    <w:p w14:paraId="3EEFAB82" w14:textId="30727323" w:rsidR="003A2B35" w:rsidRPr="00B627F0" w:rsidRDefault="001C08AC" w:rsidP="001C08AC">
      <w:pPr>
        <w:pStyle w:val="NoSpacing"/>
        <w:ind w:left="708"/>
        <w:jc w:val="both"/>
        <w:rPr>
          <w:rFonts w:ascii="Titillium" w:hAnsi="Titillium"/>
          <w:b/>
          <w:bCs/>
          <w:sz w:val="20"/>
          <w:szCs w:val="20"/>
        </w:rPr>
      </w:pPr>
      <w:r w:rsidRPr="00B627F0">
        <w:rPr>
          <w:rFonts w:ascii="Titillium" w:hAnsi="Titillium"/>
          <w:b/>
          <w:bCs/>
          <w:sz w:val="20"/>
          <w:szCs w:val="20"/>
        </w:rPr>
        <w:t xml:space="preserve">        oglasnika</w:t>
      </w:r>
      <w:r w:rsidR="00774EB6" w:rsidRPr="00B627F0">
        <w:rPr>
          <w:rFonts w:ascii="Titillium" w:hAnsi="Titillium"/>
          <w:b/>
          <w:bCs/>
          <w:sz w:val="20"/>
          <w:szCs w:val="20"/>
        </w:rPr>
        <w:t xml:space="preserve"> </w:t>
      </w:r>
      <w:r w:rsidR="003A2B35" w:rsidRPr="00B627F0">
        <w:rPr>
          <w:rFonts w:ascii="Titillium" w:hAnsi="Titillium"/>
          <w:b/>
          <w:bCs/>
          <w:sz w:val="20"/>
          <w:szCs w:val="20"/>
        </w:rPr>
        <w:t>javne nabave Republike</w:t>
      </w:r>
      <w:r w:rsidR="00774EB6" w:rsidRPr="00B627F0">
        <w:rPr>
          <w:rFonts w:ascii="Titillium" w:hAnsi="Titillium"/>
          <w:b/>
          <w:bCs/>
          <w:sz w:val="20"/>
          <w:szCs w:val="20"/>
        </w:rPr>
        <w:t xml:space="preserve"> </w:t>
      </w:r>
      <w:r w:rsidR="003A2B35" w:rsidRPr="00B627F0">
        <w:rPr>
          <w:rFonts w:ascii="Titillium" w:hAnsi="Titillium"/>
          <w:b/>
          <w:bCs/>
          <w:sz w:val="20"/>
          <w:szCs w:val="20"/>
        </w:rPr>
        <w:t>Hrvatske (dalje u tekstu: EOJN),</w:t>
      </w:r>
    </w:p>
    <w:p w14:paraId="0B935E7D" w14:textId="75335187" w:rsidR="0093446A" w:rsidRPr="00B627F0" w:rsidRDefault="003A2B35" w:rsidP="00F77A9D">
      <w:pPr>
        <w:pStyle w:val="NoSpacing"/>
        <w:numPr>
          <w:ilvl w:val="0"/>
          <w:numId w:val="24"/>
        </w:numPr>
        <w:jc w:val="both"/>
        <w:rPr>
          <w:rFonts w:ascii="Titillium" w:hAnsi="Titillium"/>
          <w:b/>
          <w:bCs/>
          <w:sz w:val="20"/>
          <w:szCs w:val="20"/>
        </w:rPr>
      </w:pPr>
      <w:r w:rsidRPr="00B627F0">
        <w:rPr>
          <w:rFonts w:ascii="Titillium" w:hAnsi="Titillium"/>
          <w:b/>
          <w:bCs/>
          <w:sz w:val="20"/>
          <w:szCs w:val="20"/>
        </w:rPr>
        <w:t>Popunjeni Troškovnik,</w:t>
      </w:r>
    </w:p>
    <w:p w14:paraId="2F9CA718" w14:textId="44E8EF9D" w:rsidR="00F22193" w:rsidRPr="00B627F0" w:rsidRDefault="00B627F0" w:rsidP="00F22193">
      <w:pPr>
        <w:pStyle w:val="NoSpacing"/>
        <w:ind w:firstLine="708"/>
        <w:jc w:val="both"/>
        <w:rPr>
          <w:rFonts w:ascii="Titillium" w:hAnsi="Titillium"/>
          <w:b/>
          <w:bCs/>
          <w:sz w:val="20"/>
          <w:szCs w:val="20"/>
        </w:rPr>
      </w:pPr>
      <w:r w:rsidRPr="00B627F0">
        <w:rPr>
          <w:rFonts w:ascii="Titillium" w:hAnsi="Titillium"/>
          <w:b/>
          <w:bCs/>
          <w:sz w:val="20"/>
          <w:szCs w:val="20"/>
        </w:rPr>
        <w:t>4</w:t>
      </w:r>
      <w:r w:rsidR="00F22193" w:rsidRPr="00B627F0">
        <w:rPr>
          <w:rFonts w:ascii="Titillium" w:hAnsi="Titillium"/>
          <w:b/>
          <w:bCs/>
          <w:sz w:val="20"/>
          <w:szCs w:val="20"/>
        </w:rPr>
        <w:t xml:space="preserve">. Popunjen ESPD obrazac, </w:t>
      </w:r>
    </w:p>
    <w:p w14:paraId="27C31AB6" w14:textId="4423D137" w:rsidR="00F22193" w:rsidRPr="00B627F0" w:rsidRDefault="00B627F0" w:rsidP="00F22193">
      <w:pPr>
        <w:pStyle w:val="NoSpacing"/>
        <w:ind w:firstLine="708"/>
        <w:jc w:val="both"/>
        <w:rPr>
          <w:rFonts w:ascii="Titillium" w:hAnsi="Titillium"/>
          <w:b/>
          <w:bCs/>
          <w:sz w:val="20"/>
          <w:szCs w:val="20"/>
        </w:rPr>
      </w:pPr>
      <w:r w:rsidRPr="00B627F0">
        <w:rPr>
          <w:rFonts w:ascii="Titillium" w:hAnsi="Titillium"/>
          <w:b/>
          <w:bCs/>
          <w:sz w:val="20"/>
          <w:szCs w:val="20"/>
        </w:rPr>
        <w:t>5</w:t>
      </w:r>
      <w:r w:rsidR="00F22193" w:rsidRPr="00B627F0">
        <w:rPr>
          <w:rFonts w:ascii="Titillium" w:hAnsi="Titillium"/>
          <w:b/>
          <w:bCs/>
          <w:sz w:val="20"/>
          <w:szCs w:val="20"/>
        </w:rPr>
        <w:t>. Jamstvo za ozbiljnost ponude,</w:t>
      </w:r>
    </w:p>
    <w:p w14:paraId="642BA5A8" w14:textId="302CE1D9" w:rsidR="00BC763E" w:rsidRPr="00B627F0" w:rsidRDefault="00B627F0" w:rsidP="00F22193">
      <w:pPr>
        <w:pStyle w:val="NoSpacing"/>
        <w:ind w:firstLine="708"/>
        <w:jc w:val="both"/>
        <w:rPr>
          <w:rFonts w:ascii="Titillium" w:hAnsi="Titillium"/>
          <w:b/>
          <w:bCs/>
          <w:sz w:val="20"/>
          <w:szCs w:val="20"/>
        </w:rPr>
      </w:pPr>
      <w:r w:rsidRPr="00B627F0">
        <w:rPr>
          <w:rFonts w:ascii="Titillium" w:hAnsi="Titillium"/>
          <w:b/>
          <w:bCs/>
          <w:sz w:val="20"/>
          <w:szCs w:val="20"/>
        </w:rPr>
        <w:t>6</w:t>
      </w:r>
      <w:r w:rsidR="00BC763E" w:rsidRPr="00B627F0">
        <w:rPr>
          <w:rFonts w:ascii="Titillium" w:hAnsi="Titillium"/>
          <w:b/>
          <w:bCs/>
          <w:sz w:val="20"/>
          <w:szCs w:val="20"/>
        </w:rPr>
        <w:t>. Dokaze za potrebe utvrđivanja</w:t>
      </w:r>
      <w:r w:rsidRPr="00B627F0">
        <w:rPr>
          <w:rFonts w:ascii="Titillium" w:hAnsi="Titillium"/>
          <w:b/>
          <w:bCs/>
          <w:sz w:val="20"/>
          <w:szCs w:val="20"/>
        </w:rPr>
        <w:t xml:space="preserve"> ekonomski najpovoljnije ponude,</w:t>
      </w:r>
    </w:p>
    <w:p w14:paraId="41260DAF" w14:textId="0799AD92" w:rsidR="00B627F0" w:rsidRPr="00B627F0" w:rsidRDefault="00B627F0" w:rsidP="00B627F0">
      <w:pPr>
        <w:ind w:firstLine="708"/>
        <w:contextualSpacing/>
        <w:jc w:val="both"/>
        <w:rPr>
          <w:rFonts w:ascii="Titillium" w:hAnsi="Titillium"/>
          <w:sz w:val="20"/>
          <w:szCs w:val="20"/>
        </w:rPr>
      </w:pPr>
      <w:r w:rsidRPr="00B627F0">
        <w:rPr>
          <w:rFonts w:ascii="Titillium" w:hAnsi="Titillium"/>
          <w:b/>
          <w:bCs/>
          <w:sz w:val="20"/>
          <w:szCs w:val="20"/>
        </w:rPr>
        <w:t>7.</w:t>
      </w:r>
      <w:r w:rsidRPr="00B627F0">
        <w:rPr>
          <w:rFonts w:ascii="Titillium" w:hAnsi="Titillium"/>
          <w:sz w:val="20"/>
          <w:szCs w:val="20"/>
        </w:rPr>
        <w:t xml:space="preserve"> </w:t>
      </w:r>
      <w:r w:rsidRPr="00B627F0">
        <w:rPr>
          <w:rFonts w:ascii="Titillium" w:hAnsi="Titillium"/>
          <w:b/>
          <w:sz w:val="20"/>
          <w:szCs w:val="20"/>
        </w:rPr>
        <w:t>Ostali dokazi i podatci ukoliko su traženi ovom Dokumentacijom o nabavi.</w:t>
      </w:r>
      <w:r w:rsidRPr="00B627F0">
        <w:rPr>
          <w:rFonts w:ascii="Titillium" w:hAnsi="Titillium"/>
          <w:sz w:val="20"/>
          <w:szCs w:val="20"/>
        </w:rPr>
        <w:t xml:space="preserve"> </w:t>
      </w:r>
    </w:p>
    <w:p w14:paraId="0DE616A6" w14:textId="4EFFA9E8" w:rsidR="00B627F0" w:rsidRPr="00E3051C" w:rsidRDefault="00B627F0" w:rsidP="00F22193">
      <w:pPr>
        <w:pStyle w:val="NoSpacing"/>
        <w:ind w:firstLine="708"/>
        <w:jc w:val="both"/>
        <w:rPr>
          <w:rFonts w:ascii="Titillium" w:hAnsi="Titillium"/>
          <w:b/>
          <w:bCs/>
          <w:sz w:val="20"/>
          <w:szCs w:val="20"/>
        </w:rPr>
      </w:pPr>
    </w:p>
    <w:p w14:paraId="02E48D8A" w14:textId="77777777" w:rsidR="00F22193" w:rsidRDefault="00F22193" w:rsidP="00F22193">
      <w:pPr>
        <w:pStyle w:val="NoSpacing"/>
        <w:jc w:val="both"/>
        <w:rPr>
          <w:rFonts w:ascii="Titillium" w:hAnsi="Titillium"/>
          <w:bCs/>
          <w:sz w:val="20"/>
          <w:szCs w:val="20"/>
        </w:rPr>
      </w:pPr>
    </w:p>
    <w:p w14:paraId="15169D4F" w14:textId="77777777" w:rsidR="00F22193" w:rsidRDefault="00F22193" w:rsidP="00612BF5">
      <w:pPr>
        <w:pStyle w:val="NoSpacing"/>
        <w:jc w:val="both"/>
        <w:rPr>
          <w:rFonts w:ascii="Titillium" w:hAnsi="Titillium"/>
          <w:bCs/>
          <w:sz w:val="20"/>
          <w:szCs w:val="20"/>
        </w:rPr>
      </w:pPr>
      <w:r w:rsidRPr="00F22193">
        <w:rPr>
          <w:rFonts w:ascii="Titillium" w:hAnsi="Titillium"/>
          <w:bCs/>
          <w:sz w:val="20"/>
          <w:szCs w:val="20"/>
        </w:rPr>
        <w:t>Ako se radi o zajednici gospodarskih subjekata, ponudbeni list sadr</w:t>
      </w:r>
      <w:r>
        <w:rPr>
          <w:rFonts w:ascii="Titillium" w:hAnsi="Titillium"/>
          <w:bCs/>
          <w:sz w:val="20"/>
          <w:szCs w:val="20"/>
        </w:rPr>
        <w:t xml:space="preserve">ži podatke o ponuditelju, i to </w:t>
      </w:r>
      <w:r w:rsidRPr="00F22193">
        <w:rPr>
          <w:rFonts w:ascii="Titillium" w:hAnsi="Titillium"/>
          <w:bCs/>
          <w:sz w:val="20"/>
          <w:szCs w:val="20"/>
        </w:rPr>
        <w:t>za svakog člana zajednice uz obveznu naznaku člana koji je voditelj zajednice te ovlašten za komunikaciju s naručiteljem.</w:t>
      </w:r>
    </w:p>
    <w:p w14:paraId="1F9D9FB1" w14:textId="77777777" w:rsidR="00F22193" w:rsidRDefault="00F22193" w:rsidP="00612BF5">
      <w:pPr>
        <w:pStyle w:val="NoSpacing"/>
        <w:jc w:val="both"/>
        <w:rPr>
          <w:rFonts w:ascii="Titillium" w:hAnsi="Titillium"/>
          <w:bCs/>
          <w:sz w:val="20"/>
          <w:szCs w:val="20"/>
        </w:rPr>
      </w:pPr>
    </w:p>
    <w:p w14:paraId="7D04186C" w14:textId="7F96F60E" w:rsidR="00F22193" w:rsidRPr="00F22193" w:rsidRDefault="00224143" w:rsidP="00612BF5">
      <w:pPr>
        <w:pStyle w:val="NoSpacing"/>
        <w:jc w:val="both"/>
        <w:rPr>
          <w:rFonts w:ascii="Titillium" w:hAnsi="Titillium"/>
          <w:b/>
          <w:bCs/>
          <w:sz w:val="20"/>
          <w:szCs w:val="20"/>
        </w:rPr>
      </w:pPr>
      <w:r>
        <w:rPr>
          <w:rFonts w:ascii="Titillium" w:hAnsi="Titillium"/>
          <w:b/>
          <w:bCs/>
          <w:sz w:val="20"/>
          <w:szCs w:val="20"/>
        </w:rPr>
        <w:t>6.3</w:t>
      </w:r>
      <w:r w:rsidR="00F22193" w:rsidRPr="00F22193">
        <w:rPr>
          <w:rFonts w:ascii="Titillium" w:hAnsi="Titillium"/>
          <w:b/>
          <w:bCs/>
          <w:sz w:val="20"/>
          <w:szCs w:val="20"/>
        </w:rPr>
        <w:t xml:space="preserve">. </w:t>
      </w:r>
      <w:r w:rsidR="00F22193" w:rsidRPr="00F22193">
        <w:rPr>
          <w:rFonts w:ascii="Titillium" w:hAnsi="Titillium"/>
          <w:b/>
          <w:bCs/>
          <w:sz w:val="20"/>
          <w:szCs w:val="20"/>
        </w:rPr>
        <w:tab/>
        <w:t>Izmjena i/ili dopuna ponude</w:t>
      </w:r>
    </w:p>
    <w:p w14:paraId="2129E03F" w14:textId="77777777" w:rsidR="00F22193" w:rsidRDefault="00F22193" w:rsidP="00612BF5">
      <w:pPr>
        <w:pStyle w:val="NoSpacing"/>
        <w:jc w:val="both"/>
        <w:rPr>
          <w:rFonts w:ascii="Titillium" w:hAnsi="Titillium"/>
          <w:bCs/>
          <w:sz w:val="20"/>
          <w:szCs w:val="20"/>
        </w:rPr>
      </w:pPr>
      <w:r w:rsidRPr="00F22193">
        <w:rPr>
          <w:rFonts w:ascii="Titillium" w:hAnsi="Titillium"/>
          <w:bCs/>
          <w:sz w:val="20"/>
          <w:szCs w:val="20"/>
        </w:rPr>
        <w:t>Ponuditelj može do isteka roka za dostavu ponuda mijenjati svoju ponudu ili od nje odustati. Ako ponuditelj tijekom roka za dostavu ponuda mijenja ponudu, smatra se da je ponuda dostavljena u trenutku dostave posljednje izmjene ponude.</w:t>
      </w:r>
    </w:p>
    <w:p w14:paraId="5E8C91D9" w14:textId="77777777" w:rsidR="00F22193" w:rsidRDefault="00F22193" w:rsidP="00F22193">
      <w:pPr>
        <w:pStyle w:val="NoSpacing"/>
        <w:rPr>
          <w:rFonts w:ascii="Titillium" w:hAnsi="Titillium"/>
          <w:bCs/>
          <w:sz w:val="20"/>
          <w:szCs w:val="20"/>
        </w:rPr>
      </w:pPr>
    </w:p>
    <w:p w14:paraId="51C41E2D" w14:textId="505D3330" w:rsidR="00F22193" w:rsidRPr="00F22193" w:rsidRDefault="00224143" w:rsidP="00F22193">
      <w:pPr>
        <w:pStyle w:val="NoSpacing"/>
        <w:rPr>
          <w:rFonts w:ascii="Titillium" w:hAnsi="Titillium"/>
          <w:b/>
          <w:bCs/>
          <w:sz w:val="20"/>
          <w:szCs w:val="20"/>
        </w:rPr>
      </w:pPr>
      <w:r>
        <w:rPr>
          <w:rFonts w:ascii="Titillium" w:hAnsi="Titillium"/>
          <w:b/>
          <w:bCs/>
          <w:sz w:val="20"/>
          <w:szCs w:val="20"/>
        </w:rPr>
        <w:t>6.4</w:t>
      </w:r>
      <w:r w:rsidR="00F22193" w:rsidRPr="00F22193">
        <w:rPr>
          <w:rFonts w:ascii="Titillium" w:hAnsi="Titillium"/>
          <w:b/>
          <w:bCs/>
          <w:sz w:val="20"/>
          <w:szCs w:val="20"/>
        </w:rPr>
        <w:t xml:space="preserve">. </w:t>
      </w:r>
      <w:r w:rsidR="00F22193" w:rsidRPr="00F22193">
        <w:rPr>
          <w:rFonts w:ascii="Titillium" w:hAnsi="Titillium"/>
          <w:b/>
          <w:bCs/>
          <w:sz w:val="20"/>
          <w:szCs w:val="20"/>
        </w:rPr>
        <w:tab/>
        <w:t>Nedostupnost EOJN RH tijekom roka za dostavu ponuda</w:t>
      </w:r>
    </w:p>
    <w:p w14:paraId="6BC69736" w14:textId="77777777" w:rsidR="00F22193" w:rsidRPr="00F22193" w:rsidRDefault="00F22193" w:rsidP="00F22193">
      <w:pPr>
        <w:pStyle w:val="NoSpacing"/>
        <w:jc w:val="both"/>
        <w:rPr>
          <w:rFonts w:ascii="Titillium" w:hAnsi="Titillium"/>
          <w:bCs/>
          <w:sz w:val="20"/>
          <w:szCs w:val="20"/>
        </w:rPr>
      </w:pPr>
      <w:r w:rsidRPr="00F22193">
        <w:rPr>
          <w:rFonts w:ascii="Titillium" w:hAnsi="Titillium"/>
          <w:bCs/>
          <w:sz w:val="20"/>
          <w:szCs w:val="20"/>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14:paraId="3CA3DDEA" w14:textId="77777777" w:rsidR="005F21B3" w:rsidRDefault="00F22193" w:rsidP="00F22193">
      <w:pPr>
        <w:pStyle w:val="NoSpacing"/>
        <w:jc w:val="both"/>
        <w:rPr>
          <w:rFonts w:ascii="Titillium" w:hAnsi="Titillium"/>
          <w:bCs/>
          <w:sz w:val="20"/>
          <w:szCs w:val="20"/>
        </w:rPr>
      </w:pPr>
      <w:r w:rsidRPr="00F22193">
        <w:rPr>
          <w:rFonts w:ascii="Titillium" w:hAnsi="Titillium"/>
          <w:bCs/>
          <w:sz w:val="20"/>
          <w:szCs w:val="20"/>
        </w:rPr>
        <w:t>Nedostupnost tijekom roka za dostavu ponuda postoji ako zbog tehničkih ili drugih razloga na strani EOJN RH tijekom četiri sata prije isteka roka za dostavu nije moguće:</w:t>
      </w:r>
    </w:p>
    <w:p w14:paraId="7585380A" w14:textId="77777777" w:rsidR="00F22193" w:rsidRPr="00F22193" w:rsidRDefault="00F22193" w:rsidP="00F22193">
      <w:pPr>
        <w:pStyle w:val="NoSpacing"/>
        <w:ind w:firstLine="708"/>
        <w:rPr>
          <w:rFonts w:ascii="Titillium" w:hAnsi="Titillium"/>
          <w:bCs/>
          <w:sz w:val="20"/>
          <w:szCs w:val="20"/>
        </w:rPr>
      </w:pPr>
      <w:r>
        <w:rPr>
          <w:rFonts w:ascii="Titillium" w:hAnsi="Titillium"/>
          <w:bCs/>
          <w:sz w:val="20"/>
          <w:szCs w:val="20"/>
        </w:rPr>
        <w:t xml:space="preserve">1. </w:t>
      </w:r>
      <w:r w:rsidRPr="00F22193">
        <w:rPr>
          <w:rFonts w:ascii="Titillium" w:hAnsi="Titillium"/>
          <w:bCs/>
          <w:sz w:val="20"/>
          <w:szCs w:val="20"/>
        </w:rPr>
        <w:tab/>
        <w:t>priložiti bilo koji dokument u podržanom formatu, uključujući troškovnik</w:t>
      </w:r>
    </w:p>
    <w:p w14:paraId="12C3D644" w14:textId="77777777" w:rsidR="00F22193" w:rsidRPr="00F22193" w:rsidRDefault="00F22193" w:rsidP="00F22193">
      <w:pPr>
        <w:pStyle w:val="NoSpacing"/>
        <w:ind w:firstLine="708"/>
        <w:rPr>
          <w:rFonts w:ascii="Titillium" w:hAnsi="Titillium"/>
          <w:bCs/>
          <w:sz w:val="20"/>
          <w:szCs w:val="20"/>
        </w:rPr>
      </w:pPr>
      <w:r w:rsidRPr="00F22193">
        <w:rPr>
          <w:rFonts w:ascii="Titillium" w:hAnsi="Titillium"/>
          <w:bCs/>
          <w:sz w:val="20"/>
          <w:szCs w:val="20"/>
        </w:rPr>
        <w:t>2.</w:t>
      </w:r>
      <w:r w:rsidRPr="00F22193">
        <w:rPr>
          <w:rFonts w:ascii="Titillium" w:hAnsi="Titillium"/>
          <w:bCs/>
          <w:sz w:val="20"/>
          <w:szCs w:val="20"/>
        </w:rPr>
        <w:tab/>
        <w:t>kreirati ili priložiti uvez ponude</w:t>
      </w:r>
    </w:p>
    <w:p w14:paraId="7DFFA147" w14:textId="77777777" w:rsidR="00F22193" w:rsidRDefault="00F22193" w:rsidP="00F22193">
      <w:pPr>
        <w:pStyle w:val="NoSpacing"/>
        <w:ind w:firstLine="708"/>
        <w:rPr>
          <w:rFonts w:ascii="Titillium" w:hAnsi="Titillium"/>
          <w:bCs/>
          <w:sz w:val="20"/>
          <w:szCs w:val="20"/>
        </w:rPr>
      </w:pPr>
      <w:r w:rsidRPr="00F22193">
        <w:rPr>
          <w:rFonts w:ascii="Titillium" w:hAnsi="Titillium"/>
          <w:bCs/>
          <w:sz w:val="20"/>
          <w:szCs w:val="20"/>
        </w:rPr>
        <w:t>3.</w:t>
      </w:r>
      <w:r w:rsidRPr="00F22193">
        <w:rPr>
          <w:rFonts w:ascii="Titillium" w:hAnsi="Titillium"/>
          <w:bCs/>
          <w:sz w:val="20"/>
          <w:szCs w:val="20"/>
        </w:rPr>
        <w:tab/>
        <w:t>dostaviti ponudu.</w:t>
      </w:r>
    </w:p>
    <w:p w14:paraId="52DB11EF" w14:textId="77777777" w:rsidR="00F22193" w:rsidRDefault="00F22193" w:rsidP="00F22193">
      <w:pPr>
        <w:pStyle w:val="NoSpacing"/>
        <w:rPr>
          <w:rFonts w:ascii="Titillium" w:hAnsi="Titillium"/>
          <w:bCs/>
          <w:sz w:val="20"/>
          <w:szCs w:val="20"/>
        </w:rPr>
      </w:pPr>
    </w:p>
    <w:p w14:paraId="394BE274" w14:textId="08FEB575" w:rsidR="00F22193" w:rsidRPr="00F22193" w:rsidRDefault="00F22193" w:rsidP="00F22193">
      <w:pPr>
        <w:pStyle w:val="NoSpacing"/>
        <w:jc w:val="both"/>
        <w:rPr>
          <w:rFonts w:ascii="Titillium" w:hAnsi="Titillium"/>
          <w:bCs/>
          <w:sz w:val="20"/>
          <w:szCs w:val="20"/>
        </w:rPr>
      </w:pPr>
      <w:r w:rsidRPr="00F22193">
        <w:rPr>
          <w:rFonts w:ascii="Titillium" w:hAnsi="Titillium"/>
          <w:bCs/>
          <w:sz w:val="20"/>
          <w:szCs w:val="20"/>
        </w:rPr>
        <w:t>Nedostupnost, naručitelj ili gospodarski subjekt dužan je prijaviti Službi za pomoć EOJN RH pri Narodnim novinama d.d. od ponedjeljka do subote u vremenu od 6:00 do 20:00 sati. Po zaprimanju prijave, Narodne novine d.d. će is</w:t>
      </w:r>
      <w:r w:rsidR="00985309">
        <w:rPr>
          <w:rFonts w:ascii="Titillium" w:hAnsi="Titillium"/>
          <w:bCs/>
          <w:sz w:val="20"/>
          <w:szCs w:val="20"/>
        </w:rPr>
        <w:t>tu provjeriti te u slučaju utvrđ</w:t>
      </w:r>
      <w:r w:rsidRPr="00F22193">
        <w:rPr>
          <w:rFonts w:ascii="Titillium" w:hAnsi="Titillium"/>
          <w:bCs/>
          <w:sz w:val="20"/>
          <w:szCs w:val="20"/>
        </w:rPr>
        <w:t>ene nedostupnosti obvezne su o tome bez odgode:</w:t>
      </w:r>
    </w:p>
    <w:p w14:paraId="2F3B53CF" w14:textId="77777777" w:rsidR="00F22193" w:rsidRPr="00F22193" w:rsidRDefault="00F22193" w:rsidP="00F22193">
      <w:pPr>
        <w:pStyle w:val="NoSpacing"/>
        <w:ind w:left="1413" w:hanging="705"/>
        <w:jc w:val="both"/>
        <w:rPr>
          <w:rFonts w:ascii="Titillium" w:hAnsi="Titillium"/>
          <w:bCs/>
          <w:sz w:val="20"/>
          <w:szCs w:val="20"/>
        </w:rPr>
      </w:pPr>
      <w:r w:rsidRPr="00F22193">
        <w:rPr>
          <w:rFonts w:ascii="Titillium" w:hAnsi="Titillium"/>
          <w:bCs/>
          <w:sz w:val="20"/>
          <w:szCs w:val="20"/>
        </w:rPr>
        <w:t>1.</w:t>
      </w:r>
      <w:r w:rsidRPr="00F22193">
        <w:rPr>
          <w:rFonts w:ascii="Titillium" w:hAnsi="Titillium"/>
          <w:bCs/>
          <w:sz w:val="20"/>
          <w:szCs w:val="20"/>
        </w:rPr>
        <w:tab/>
        <w:t>obavijestiti putem elektroničke pošte zainteresirane gospodarske subjekte i naručitelja u postupku javne nabave, ako je moguće</w:t>
      </w:r>
    </w:p>
    <w:p w14:paraId="120AF39C" w14:textId="77777777" w:rsidR="00F22193" w:rsidRPr="00F22193" w:rsidRDefault="00F22193" w:rsidP="00F22193">
      <w:pPr>
        <w:pStyle w:val="NoSpacing"/>
        <w:ind w:left="1413" w:hanging="705"/>
        <w:jc w:val="both"/>
        <w:rPr>
          <w:rFonts w:ascii="Titillium" w:hAnsi="Titillium"/>
          <w:bCs/>
          <w:sz w:val="20"/>
          <w:szCs w:val="20"/>
        </w:rPr>
      </w:pPr>
      <w:r w:rsidRPr="00F22193">
        <w:rPr>
          <w:rFonts w:ascii="Titillium" w:hAnsi="Titillium"/>
          <w:bCs/>
          <w:sz w:val="20"/>
          <w:szCs w:val="20"/>
        </w:rPr>
        <w:t>2.</w:t>
      </w:r>
      <w:r w:rsidRPr="00F22193">
        <w:rPr>
          <w:rFonts w:ascii="Titillium" w:hAnsi="Titillium"/>
          <w:bCs/>
          <w:sz w:val="20"/>
          <w:szCs w:val="20"/>
        </w:rPr>
        <w:tab/>
        <w:t>obavijestiti putem elektroničke pošte središnje tijelo državne uprave nadležno za politiku javne nabave, i</w:t>
      </w:r>
    </w:p>
    <w:p w14:paraId="49305F1E" w14:textId="3E538368" w:rsidR="00F22193" w:rsidRDefault="00F22193" w:rsidP="00F22193">
      <w:pPr>
        <w:pStyle w:val="NoSpacing"/>
        <w:ind w:firstLine="708"/>
        <w:jc w:val="both"/>
        <w:rPr>
          <w:rFonts w:ascii="Titillium" w:hAnsi="Titillium"/>
          <w:bCs/>
          <w:sz w:val="20"/>
          <w:szCs w:val="20"/>
        </w:rPr>
      </w:pPr>
      <w:r w:rsidRPr="00F22193">
        <w:rPr>
          <w:rFonts w:ascii="Titillium" w:hAnsi="Titillium"/>
          <w:bCs/>
          <w:sz w:val="20"/>
          <w:szCs w:val="20"/>
        </w:rPr>
        <w:t>3.</w:t>
      </w:r>
      <w:r w:rsidRPr="00F22193">
        <w:rPr>
          <w:rFonts w:ascii="Titillium" w:hAnsi="Titillium"/>
          <w:bCs/>
          <w:sz w:val="20"/>
          <w:szCs w:val="20"/>
        </w:rPr>
        <w:tab/>
        <w:t>objaviti obavijest o nedostupnosti EOJN RH na internetskim stranicama.</w:t>
      </w:r>
    </w:p>
    <w:p w14:paraId="24E4F517" w14:textId="77777777" w:rsidR="00985309" w:rsidRPr="00F22193" w:rsidRDefault="00985309" w:rsidP="00F22193">
      <w:pPr>
        <w:pStyle w:val="NoSpacing"/>
        <w:ind w:firstLine="708"/>
        <w:jc w:val="both"/>
        <w:rPr>
          <w:rFonts w:ascii="Titillium" w:hAnsi="Titillium"/>
          <w:bCs/>
          <w:sz w:val="20"/>
          <w:szCs w:val="20"/>
        </w:rPr>
      </w:pPr>
    </w:p>
    <w:p w14:paraId="5FBDEB9F" w14:textId="77777777" w:rsidR="00F22193" w:rsidRPr="00F22193" w:rsidRDefault="00F22193" w:rsidP="00F22193">
      <w:pPr>
        <w:pStyle w:val="NoSpacing"/>
        <w:jc w:val="both"/>
        <w:rPr>
          <w:rFonts w:ascii="Titillium" w:hAnsi="Titillium"/>
          <w:bCs/>
          <w:sz w:val="20"/>
          <w:szCs w:val="20"/>
        </w:rPr>
      </w:pPr>
      <w:r w:rsidRPr="00F22193">
        <w:rPr>
          <w:rFonts w:ascii="Titillium" w:hAnsi="Titillium"/>
          <w:bCs/>
          <w:sz w:val="20"/>
          <w:szCs w:val="20"/>
        </w:rPr>
        <w:t>Iznimno, ako se nedostupnost otkloni u roku kraćem od 30 minuta od zaprimanja prijave te ako je od otklanjanja preostalo najmanje četiri sata do isteka roka za dostavu, smatra se da nedostupnost nije nastupila.</w:t>
      </w:r>
    </w:p>
    <w:p w14:paraId="140517EB" w14:textId="77777777" w:rsidR="00F22193" w:rsidRPr="00F22193" w:rsidRDefault="00F22193" w:rsidP="00F22193">
      <w:pPr>
        <w:pStyle w:val="NoSpacing"/>
        <w:jc w:val="both"/>
        <w:rPr>
          <w:rFonts w:ascii="Titillium" w:hAnsi="Titillium"/>
          <w:bCs/>
          <w:sz w:val="20"/>
          <w:szCs w:val="20"/>
        </w:rPr>
      </w:pPr>
      <w:r w:rsidRPr="00F22193">
        <w:rPr>
          <w:rFonts w:ascii="Titillium" w:hAnsi="Titillium"/>
          <w:bCs/>
          <w:sz w:val="20"/>
          <w:szCs w:val="20"/>
        </w:rPr>
        <w:t>Ako se utvrdi nedostupnost EOJN RH rok za dostavu ne teče dok se ista ne otkloni. Nakon otklanjanja nedostupnosti EOJN RH, Narodne novine d.d. obvezne su bez odgode postupiti analogno članku 34. stavku 2. točkama 1., 2. i 3. Pravilnika.</w:t>
      </w:r>
    </w:p>
    <w:p w14:paraId="22734E17" w14:textId="77777777" w:rsidR="00F22193" w:rsidRPr="00F22193" w:rsidRDefault="00F22193" w:rsidP="00F22193">
      <w:pPr>
        <w:pStyle w:val="NoSpacing"/>
        <w:jc w:val="both"/>
        <w:rPr>
          <w:rFonts w:ascii="Titillium" w:hAnsi="Titillium"/>
          <w:bCs/>
          <w:sz w:val="20"/>
          <w:szCs w:val="20"/>
        </w:rPr>
      </w:pPr>
      <w:r w:rsidRPr="00F22193">
        <w:rPr>
          <w:rFonts w:ascii="Titillium" w:hAnsi="Titillium"/>
          <w:bCs/>
          <w:sz w:val="20"/>
          <w:szCs w:val="20"/>
        </w:rPr>
        <w:t>Nakon zaprimanja obavijesti naručitelj je obvezan produžiti rok za dostavu za najmanje četiri dana od dana slanja ispravka poziva na nadmetanje ili ispravka poziva na dostavu ponuda.</w:t>
      </w:r>
    </w:p>
    <w:p w14:paraId="3C879947" w14:textId="77777777" w:rsidR="00F22193" w:rsidRPr="00F22193" w:rsidRDefault="00F22193" w:rsidP="00F22193">
      <w:pPr>
        <w:pStyle w:val="NoSpacing"/>
        <w:jc w:val="both"/>
        <w:rPr>
          <w:rFonts w:ascii="Titillium" w:hAnsi="Titillium"/>
          <w:bCs/>
          <w:sz w:val="20"/>
          <w:szCs w:val="20"/>
        </w:rPr>
      </w:pPr>
      <w:r w:rsidRPr="00F22193">
        <w:rPr>
          <w:rFonts w:ascii="Titillium" w:hAnsi="Titillium"/>
          <w:bCs/>
          <w:sz w:val="20"/>
          <w:szCs w:val="20"/>
        </w:rPr>
        <w:t>U slučaju da Naručitelj zaustavi postupak javne nabave povodom izjavljene žalbe na dokumentaciju ili poništi postupak javne nabave prije isteka roka za dostavu ponuda, za sve ponude koje su u međuvremenu dostavljene elektronički, EOJN trajno će onemogućiti pristup tim ponudama čime će se osigurati da nitko nema uvid u sadržaj dostavljenih ponuda. U slučaju da se postupak nastavi, Ponuditelj će morati ponovno dostaviti svoje ponude.</w:t>
      </w:r>
      <w:r w:rsidRPr="00F22193">
        <w:rPr>
          <w:rFonts w:ascii="Titillium" w:hAnsi="Titillium"/>
          <w:bCs/>
          <w:sz w:val="20"/>
          <w:szCs w:val="20"/>
        </w:rPr>
        <w:tab/>
      </w:r>
    </w:p>
    <w:p w14:paraId="1596693F" w14:textId="77777777" w:rsidR="00EF6B1D" w:rsidRDefault="00EF6B1D" w:rsidP="00B942CA">
      <w:pPr>
        <w:pStyle w:val="NoSpacing"/>
        <w:jc w:val="both"/>
        <w:rPr>
          <w:rFonts w:ascii="Titillium" w:hAnsi="Titillium"/>
          <w:b/>
          <w:sz w:val="20"/>
          <w:szCs w:val="20"/>
        </w:rPr>
      </w:pPr>
    </w:p>
    <w:p w14:paraId="39A49725" w14:textId="1FD92553" w:rsidR="005F21B3" w:rsidRPr="00F22193" w:rsidRDefault="00224143" w:rsidP="00B942CA">
      <w:pPr>
        <w:pStyle w:val="NoSpacing"/>
        <w:jc w:val="both"/>
        <w:rPr>
          <w:rFonts w:ascii="Titillium" w:hAnsi="Titillium"/>
          <w:b/>
          <w:sz w:val="20"/>
          <w:szCs w:val="20"/>
        </w:rPr>
      </w:pPr>
      <w:r>
        <w:rPr>
          <w:rFonts w:ascii="Titillium" w:hAnsi="Titillium"/>
          <w:b/>
          <w:sz w:val="20"/>
          <w:szCs w:val="20"/>
        </w:rPr>
        <w:t>6.5</w:t>
      </w:r>
      <w:r w:rsidR="00F22193" w:rsidRPr="00F22193">
        <w:rPr>
          <w:rFonts w:ascii="Titillium" w:hAnsi="Titillium"/>
          <w:b/>
          <w:sz w:val="20"/>
          <w:szCs w:val="20"/>
        </w:rPr>
        <w:t xml:space="preserve">. </w:t>
      </w:r>
      <w:r w:rsidR="00F22193" w:rsidRPr="00F22193">
        <w:rPr>
          <w:rFonts w:ascii="Titillium" w:hAnsi="Titillium"/>
          <w:b/>
          <w:sz w:val="20"/>
          <w:szCs w:val="20"/>
        </w:rPr>
        <w:tab/>
        <w:t xml:space="preserve">Način i dostava ponude ili dijelova ponude sredstvima koja nisu elektronička </w:t>
      </w:r>
    </w:p>
    <w:p w14:paraId="7A472E72" w14:textId="77777777" w:rsidR="00F22193" w:rsidRDefault="00F22193" w:rsidP="00B942CA">
      <w:pPr>
        <w:pStyle w:val="NoSpacing"/>
        <w:jc w:val="both"/>
        <w:rPr>
          <w:rFonts w:ascii="Titillium" w:hAnsi="Titillium"/>
          <w:sz w:val="20"/>
          <w:szCs w:val="20"/>
        </w:rPr>
      </w:pPr>
      <w:r>
        <w:rPr>
          <w:rFonts w:ascii="Titillium" w:hAnsi="Titillium"/>
          <w:sz w:val="20"/>
          <w:szCs w:val="20"/>
        </w:rPr>
        <w:t>P</w:t>
      </w:r>
      <w:r w:rsidRPr="00F22193">
        <w:rPr>
          <w:rFonts w:ascii="Titillium" w:hAnsi="Titillium"/>
          <w:sz w:val="20"/>
          <w:szCs w:val="20"/>
        </w:rPr>
        <w:t>onuditelji u papirnatom obliku, u roku za dostavu ponuda, dostavljaju izvornike dokumenata ili dokaza koje nije moguće dostaviti elektroničkim sredstvima komunikacije, poput jamstva za ozbiljnost ponude.</w:t>
      </w:r>
    </w:p>
    <w:p w14:paraId="17CDBA9C" w14:textId="77777777" w:rsidR="00F22193" w:rsidRDefault="00F22193" w:rsidP="00B942CA">
      <w:pPr>
        <w:pStyle w:val="NoSpacing"/>
        <w:jc w:val="both"/>
        <w:rPr>
          <w:rFonts w:ascii="Titillium" w:hAnsi="Titillium"/>
          <w:sz w:val="20"/>
          <w:szCs w:val="20"/>
        </w:rPr>
      </w:pPr>
      <w:r w:rsidRPr="00F22193">
        <w:rPr>
          <w:rFonts w:ascii="Titillium" w:hAnsi="Titillium"/>
          <w:sz w:val="20"/>
          <w:szCs w:val="20"/>
        </w:rPr>
        <w:t>Dio ponude koji se dostavlja sred</w:t>
      </w:r>
      <w:r w:rsidR="00A04442">
        <w:rPr>
          <w:rFonts w:ascii="Titillium" w:hAnsi="Titillium"/>
          <w:sz w:val="20"/>
          <w:szCs w:val="20"/>
        </w:rPr>
        <w:t xml:space="preserve">stvima koja nisu elektronička, </w:t>
      </w:r>
      <w:r w:rsidRPr="00F22193">
        <w:rPr>
          <w:rFonts w:ascii="Titillium" w:hAnsi="Titillium"/>
          <w:sz w:val="20"/>
          <w:szCs w:val="20"/>
        </w:rPr>
        <w:t>dostavlja se u zatvorenoj omotnici na adresu naručitelja.  Na omotnici mora biti naznačeno:</w:t>
      </w:r>
    </w:p>
    <w:p w14:paraId="4A7CBB6D" w14:textId="77777777" w:rsidR="00F22193" w:rsidRDefault="00F22193" w:rsidP="00B942CA">
      <w:pPr>
        <w:pStyle w:val="NoSpacing"/>
        <w:jc w:val="both"/>
        <w:rPr>
          <w:rFonts w:ascii="Titillium" w:hAnsi="Titillium"/>
          <w:sz w:val="20"/>
          <w:szCs w:val="20"/>
        </w:rPr>
      </w:pPr>
    </w:p>
    <w:p w14:paraId="2E2F2CC0" w14:textId="77777777" w:rsidR="00F22193" w:rsidRPr="00F22193" w:rsidRDefault="00F22193" w:rsidP="00F22193">
      <w:pPr>
        <w:spacing w:after="0" w:line="240" w:lineRule="auto"/>
        <w:contextualSpacing/>
        <w:jc w:val="both"/>
        <w:rPr>
          <w:rFonts w:ascii="Titillium" w:eastAsia="Times New Roman" w:hAnsi="Titillium" w:cs="Tahoma"/>
          <w:b/>
          <w:sz w:val="20"/>
          <w:szCs w:val="20"/>
        </w:rPr>
      </w:pPr>
      <w:r w:rsidRPr="00F22193">
        <w:rPr>
          <w:rFonts w:ascii="Titillium" w:eastAsia="Times New Roman" w:hAnsi="Titillium" w:cs="Tahoma"/>
          <w:b/>
          <w:sz w:val="20"/>
          <w:szCs w:val="20"/>
        </w:rPr>
        <w:t>Na prednjoj strani:</w:t>
      </w:r>
    </w:p>
    <w:p w14:paraId="62D487A8" w14:textId="77777777" w:rsidR="00F22193" w:rsidRPr="00F22193" w:rsidRDefault="00F22193" w:rsidP="00F22193">
      <w:pPr>
        <w:pBdr>
          <w:top w:val="single" w:sz="4" w:space="1" w:color="000000"/>
          <w:left w:val="single" w:sz="4" w:space="4" w:color="000000"/>
          <w:bottom w:val="single" w:sz="4" w:space="1" w:color="000000"/>
          <w:right w:val="single" w:sz="4" w:space="4" w:color="000000"/>
        </w:pBdr>
        <w:spacing w:after="0" w:line="240" w:lineRule="auto"/>
        <w:jc w:val="center"/>
        <w:rPr>
          <w:rFonts w:ascii="Titillium" w:hAnsi="Titillium"/>
          <w:sz w:val="20"/>
          <w:szCs w:val="20"/>
        </w:rPr>
      </w:pPr>
      <w:r w:rsidRPr="00F22193">
        <w:rPr>
          <w:rFonts w:ascii="Titillium" w:hAnsi="Titillium"/>
          <w:sz w:val="20"/>
          <w:szCs w:val="20"/>
        </w:rPr>
        <w:t>INSTITUT ZA MEDICINSKA ISTRAŽIVANJA I MEDICINU RADA</w:t>
      </w:r>
    </w:p>
    <w:p w14:paraId="0E6523EE" w14:textId="7B7C1B99" w:rsidR="00F22193" w:rsidRPr="00F22193" w:rsidRDefault="00E360A0" w:rsidP="00F22193">
      <w:pPr>
        <w:pBdr>
          <w:top w:val="single" w:sz="4" w:space="1" w:color="000000"/>
          <w:left w:val="single" w:sz="4" w:space="4" w:color="000000"/>
          <w:bottom w:val="single" w:sz="4" w:space="1" w:color="000000"/>
          <w:right w:val="single" w:sz="4" w:space="4" w:color="000000"/>
        </w:pBdr>
        <w:spacing w:after="0" w:line="240" w:lineRule="auto"/>
        <w:jc w:val="center"/>
        <w:rPr>
          <w:rFonts w:ascii="Titillium" w:hAnsi="Titillium"/>
          <w:b/>
          <w:sz w:val="20"/>
          <w:szCs w:val="20"/>
          <w:u w:val="single"/>
        </w:rPr>
      </w:pPr>
      <w:r>
        <w:rPr>
          <w:rFonts w:ascii="Titillium" w:hAnsi="Titillium"/>
          <w:sz w:val="20"/>
          <w:szCs w:val="20"/>
        </w:rPr>
        <w:t>Ksaverska cesta 2, 10 001</w:t>
      </w:r>
      <w:r w:rsidR="00F22193" w:rsidRPr="00F22193">
        <w:rPr>
          <w:rFonts w:ascii="Titillium" w:hAnsi="Titillium"/>
          <w:sz w:val="20"/>
          <w:szCs w:val="20"/>
        </w:rPr>
        <w:t xml:space="preserve"> Zagreb</w:t>
      </w:r>
    </w:p>
    <w:p w14:paraId="420BE79D" w14:textId="2B3C23E2" w:rsidR="00F22193" w:rsidRDefault="00F22193" w:rsidP="00FF19A5">
      <w:pPr>
        <w:pBdr>
          <w:top w:val="single" w:sz="4" w:space="1" w:color="000000"/>
          <w:left w:val="single" w:sz="4" w:space="4" w:color="000000"/>
          <w:bottom w:val="single" w:sz="4" w:space="1" w:color="000000"/>
          <w:right w:val="single" w:sz="4" w:space="4" w:color="000000"/>
        </w:pBdr>
        <w:spacing w:after="0" w:line="240" w:lineRule="auto"/>
        <w:jc w:val="center"/>
        <w:rPr>
          <w:rFonts w:ascii="Titillium" w:hAnsi="Titillium"/>
          <w:sz w:val="20"/>
          <w:szCs w:val="20"/>
        </w:rPr>
      </w:pPr>
      <w:r w:rsidRPr="00F22193">
        <w:rPr>
          <w:rFonts w:ascii="Titillium" w:hAnsi="Titillium" w:cs="Tahoma"/>
          <w:sz w:val="20"/>
          <w:szCs w:val="20"/>
        </w:rPr>
        <w:t>Predmet nabave</w:t>
      </w:r>
      <w:r w:rsidRPr="00DE4E53">
        <w:rPr>
          <w:rFonts w:ascii="Titillium" w:hAnsi="Titillium" w:cs="Tahoma"/>
          <w:sz w:val="20"/>
          <w:szCs w:val="20"/>
        </w:rPr>
        <w:t xml:space="preserve">: </w:t>
      </w:r>
      <w:r w:rsidR="007501BC">
        <w:rPr>
          <w:rFonts w:ascii="Titillium" w:hAnsi="Titillium"/>
          <w:color w:val="000000"/>
          <w:sz w:val="20"/>
          <w:szCs w:val="20"/>
          <w:lang w:eastAsia="hr-HR"/>
        </w:rPr>
        <w:t>U</w:t>
      </w:r>
      <w:r w:rsidR="00DE4E53" w:rsidRPr="00DE4E53">
        <w:rPr>
          <w:rFonts w:ascii="Titillium" w:hAnsi="Titillium"/>
          <w:color w:val="000000"/>
          <w:sz w:val="20"/>
          <w:szCs w:val="20"/>
          <w:lang w:eastAsia="hr-HR"/>
        </w:rPr>
        <w:t>sluga savj</w:t>
      </w:r>
      <w:r w:rsidR="007501BC">
        <w:rPr>
          <w:rFonts w:ascii="Titillium" w:hAnsi="Titillium"/>
          <w:color w:val="000000"/>
          <w:sz w:val="20"/>
          <w:szCs w:val="20"/>
          <w:lang w:eastAsia="hr-HR"/>
        </w:rPr>
        <w:t>etovanja pri provođenju postupaka</w:t>
      </w:r>
      <w:r w:rsidR="00DE4E53">
        <w:rPr>
          <w:rFonts w:ascii="Titillium" w:hAnsi="Titillium"/>
          <w:color w:val="000000"/>
          <w:sz w:val="20"/>
          <w:szCs w:val="20"/>
          <w:lang w:eastAsia="hr-HR"/>
        </w:rPr>
        <w:t xml:space="preserve"> javne </w:t>
      </w:r>
      <w:r w:rsidR="00DE4E53">
        <w:rPr>
          <w:rFonts w:ascii="Titillium" w:hAnsi="Titillium"/>
          <w:sz w:val="20"/>
          <w:szCs w:val="20"/>
        </w:rPr>
        <w:t xml:space="preserve"> nabave</w:t>
      </w:r>
    </w:p>
    <w:p w14:paraId="3D39582A" w14:textId="5BF80C89" w:rsidR="007501BC" w:rsidRPr="00F22193" w:rsidRDefault="007501BC" w:rsidP="00FF19A5">
      <w:pPr>
        <w:pBdr>
          <w:top w:val="single" w:sz="4" w:space="1" w:color="000000"/>
          <w:left w:val="single" w:sz="4" w:space="4" w:color="000000"/>
          <w:bottom w:val="single" w:sz="4" w:space="1" w:color="000000"/>
          <w:right w:val="single" w:sz="4" w:space="4" w:color="000000"/>
        </w:pBdr>
        <w:spacing w:after="0" w:line="240" w:lineRule="auto"/>
        <w:jc w:val="center"/>
        <w:rPr>
          <w:rFonts w:ascii="Titillium" w:hAnsi="Titillium" w:cs="Tahoma"/>
          <w:sz w:val="20"/>
          <w:szCs w:val="20"/>
        </w:rPr>
      </w:pPr>
      <w:proofErr w:type="spellStart"/>
      <w:r>
        <w:rPr>
          <w:rFonts w:ascii="Titillium" w:hAnsi="Titillium"/>
          <w:sz w:val="20"/>
          <w:szCs w:val="20"/>
        </w:rPr>
        <w:t>EV.broj</w:t>
      </w:r>
      <w:proofErr w:type="spellEnd"/>
      <w:r>
        <w:rPr>
          <w:rFonts w:ascii="Titillium" w:hAnsi="Titillium"/>
          <w:sz w:val="20"/>
          <w:szCs w:val="20"/>
        </w:rPr>
        <w:t>: JN-OP-VV-02/18</w:t>
      </w:r>
    </w:p>
    <w:p w14:paraId="5DC14DD2" w14:textId="77777777" w:rsidR="00F22193" w:rsidRPr="00F22193" w:rsidRDefault="00F22193" w:rsidP="00F22193">
      <w:pPr>
        <w:pBdr>
          <w:top w:val="single" w:sz="4" w:space="1" w:color="000000"/>
          <w:left w:val="single" w:sz="4" w:space="4" w:color="000000"/>
          <w:bottom w:val="single" w:sz="4" w:space="1" w:color="000000"/>
          <w:right w:val="single" w:sz="4" w:space="4" w:color="000000"/>
        </w:pBdr>
        <w:spacing w:after="0" w:line="240" w:lineRule="auto"/>
        <w:jc w:val="center"/>
        <w:rPr>
          <w:rFonts w:ascii="Titillium" w:hAnsi="Titillium" w:cs="Tahoma"/>
          <w:sz w:val="20"/>
          <w:szCs w:val="20"/>
        </w:rPr>
      </w:pPr>
      <w:r w:rsidRPr="00F22193">
        <w:rPr>
          <w:rFonts w:ascii="Titillium" w:hAnsi="Titillium" w:cs="Tahoma"/>
          <w:sz w:val="20"/>
          <w:szCs w:val="20"/>
        </w:rPr>
        <w:t>''dio/dijelovi ponude koji se dostavljaju odvojeno''</w:t>
      </w:r>
    </w:p>
    <w:p w14:paraId="5BD35EAF" w14:textId="77777777" w:rsidR="00F22193" w:rsidRPr="00F22193" w:rsidRDefault="00F22193" w:rsidP="00F22193">
      <w:pPr>
        <w:pBdr>
          <w:top w:val="single" w:sz="4" w:space="1" w:color="000000"/>
          <w:left w:val="single" w:sz="4" w:space="4" w:color="000000"/>
          <w:bottom w:val="single" w:sz="4" w:space="1" w:color="000000"/>
          <w:right w:val="single" w:sz="4" w:space="4" w:color="000000"/>
        </w:pBdr>
        <w:spacing w:after="0" w:line="240" w:lineRule="auto"/>
        <w:jc w:val="center"/>
        <w:rPr>
          <w:rFonts w:ascii="Titillium" w:hAnsi="Titillium" w:cs="Tahoma"/>
          <w:b/>
          <w:sz w:val="20"/>
          <w:szCs w:val="20"/>
        </w:rPr>
      </w:pPr>
      <w:r w:rsidRPr="00F22193">
        <w:rPr>
          <w:rFonts w:ascii="Titillium" w:hAnsi="Titillium" w:cs="Tahoma"/>
          <w:b/>
          <w:sz w:val="20"/>
          <w:szCs w:val="20"/>
        </w:rPr>
        <w:t>"NE OTVARAJ"</w:t>
      </w:r>
    </w:p>
    <w:p w14:paraId="56E440E8" w14:textId="77777777" w:rsidR="00F22193" w:rsidRPr="00F22193" w:rsidRDefault="00F22193" w:rsidP="00F22193">
      <w:pPr>
        <w:spacing w:after="0" w:line="240" w:lineRule="auto"/>
        <w:ind w:left="709"/>
        <w:contextualSpacing/>
        <w:jc w:val="both"/>
        <w:rPr>
          <w:rFonts w:ascii="Calibri Light" w:eastAsia="Times New Roman" w:hAnsi="Calibri Light" w:cs="Tahoma"/>
        </w:rPr>
      </w:pPr>
    </w:p>
    <w:p w14:paraId="0D9ADC40" w14:textId="77777777" w:rsidR="00F22193" w:rsidRPr="00F22193" w:rsidRDefault="00F22193" w:rsidP="00F22193">
      <w:pPr>
        <w:spacing w:after="0" w:line="240" w:lineRule="auto"/>
        <w:contextualSpacing/>
        <w:jc w:val="both"/>
        <w:rPr>
          <w:rFonts w:ascii="Titillium" w:eastAsia="Times New Roman" w:hAnsi="Titillium" w:cs="Tahoma"/>
          <w:b/>
          <w:sz w:val="20"/>
          <w:szCs w:val="20"/>
        </w:rPr>
      </w:pPr>
      <w:r w:rsidRPr="00F22193">
        <w:rPr>
          <w:rFonts w:ascii="Titillium" w:eastAsia="Times New Roman" w:hAnsi="Titillium" w:cs="Tahoma"/>
          <w:b/>
          <w:sz w:val="20"/>
          <w:szCs w:val="20"/>
        </w:rPr>
        <w:t>Na poleđini:</w:t>
      </w:r>
    </w:p>
    <w:p w14:paraId="0900402C" w14:textId="77777777" w:rsidR="00F22193" w:rsidRPr="00F22193" w:rsidRDefault="00F22193" w:rsidP="00F2219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itillium" w:hAnsi="Titillium"/>
          <w:color w:val="000000"/>
          <w:sz w:val="20"/>
          <w:szCs w:val="20"/>
        </w:rPr>
      </w:pPr>
      <w:r w:rsidRPr="00F22193">
        <w:rPr>
          <w:rFonts w:ascii="Titillium" w:hAnsi="Titillium"/>
          <w:color w:val="000000"/>
          <w:sz w:val="20"/>
          <w:szCs w:val="20"/>
        </w:rPr>
        <w:t>&lt;naziv i adresa ponuditelja/ članova zajednice gospodarskih subjekata &gt;</w:t>
      </w:r>
    </w:p>
    <w:p w14:paraId="69AA7EF2" w14:textId="77777777" w:rsidR="00F22193" w:rsidRPr="00F22193" w:rsidRDefault="00F22193" w:rsidP="00F2219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Titillium" w:hAnsi="Titillium"/>
          <w:sz w:val="20"/>
          <w:szCs w:val="20"/>
          <w:lang w:eastAsia="ar-SA"/>
        </w:rPr>
      </w:pPr>
      <w:r w:rsidRPr="00F22193">
        <w:rPr>
          <w:rFonts w:ascii="Titillium" w:hAnsi="Titillium"/>
          <w:sz w:val="20"/>
          <w:szCs w:val="20"/>
        </w:rPr>
        <w:t>&lt; OIB/nacionalni identifikacijski broj ponuditelja/ članova zajednice gospodarskih subjekata &gt;</w:t>
      </w:r>
    </w:p>
    <w:p w14:paraId="4CD4F523" w14:textId="77777777" w:rsidR="00F22193" w:rsidRDefault="00F22193" w:rsidP="00B942CA">
      <w:pPr>
        <w:pStyle w:val="NoSpacing"/>
        <w:jc w:val="both"/>
        <w:rPr>
          <w:rFonts w:ascii="Titillium" w:hAnsi="Titillium"/>
          <w:sz w:val="20"/>
          <w:szCs w:val="20"/>
        </w:rPr>
      </w:pPr>
    </w:p>
    <w:p w14:paraId="20CD16C9" w14:textId="77777777" w:rsidR="000B78FB" w:rsidRPr="000B78FB" w:rsidRDefault="000B78FB" w:rsidP="000B78FB">
      <w:pPr>
        <w:pStyle w:val="NoSpacing"/>
        <w:jc w:val="both"/>
        <w:rPr>
          <w:rFonts w:ascii="Titillium" w:hAnsi="Titillium"/>
          <w:sz w:val="20"/>
          <w:szCs w:val="20"/>
        </w:rPr>
      </w:pPr>
      <w:r w:rsidRPr="000B78FB">
        <w:rPr>
          <w:rFonts w:ascii="Titillium" w:hAnsi="Titillium"/>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14:paraId="76EFD30A" w14:textId="77777777" w:rsidR="005F21B3" w:rsidRDefault="000B78FB" w:rsidP="000B78FB">
      <w:pPr>
        <w:pStyle w:val="NoSpacing"/>
        <w:jc w:val="both"/>
        <w:rPr>
          <w:rFonts w:ascii="Titillium" w:hAnsi="Titillium"/>
          <w:sz w:val="20"/>
          <w:szCs w:val="20"/>
        </w:rPr>
      </w:pPr>
      <w:r w:rsidRPr="000B78FB">
        <w:rPr>
          <w:rFonts w:ascii="Titillium" w:hAnsi="Titillium"/>
          <w:sz w:val="20"/>
          <w:szCs w:val="20"/>
        </w:rPr>
        <w:t>Ponuda ili njezin dio koji su dostavljeni nakon isteka roka za dostavu ponuda ne upisuju se u upisnik o zaprimanju ponuda te se neotvoreni vraćaju pošiljatelju bez odgode, a naručitelj je obvezan to navesti u zapisniku o pregledu i ocjeni.</w:t>
      </w:r>
    </w:p>
    <w:p w14:paraId="69802569" w14:textId="77777777" w:rsidR="000B78FB" w:rsidRDefault="000B78FB" w:rsidP="000B78FB">
      <w:pPr>
        <w:pStyle w:val="NoSpacing"/>
        <w:jc w:val="both"/>
        <w:rPr>
          <w:rFonts w:ascii="Titillium" w:hAnsi="Titillium"/>
          <w:sz w:val="20"/>
          <w:szCs w:val="20"/>
        </w:rPr>
      </w:pPr>
    </w:p>
    <w:p w14:paraId="742813DE" w14:textId="4E9D49AC" w:rsidR="000B78FB" w:rsidRPr="000B78FB" w:rsidRDefault="00224143" w:rsidP="000B78FB">
      <w:pPr>
        <w:pStyle w:val="NoSpacing"/>
        <w:ind w:left="705" w:hanging="705"/>
        <w:jc w:val="both"/>
        <w:rPr>
          <w:rFonts w:ascii="Titillium" w:hAnsi="Titillium"/>
          <w:b/>
          <w:sz w:val="20"/>
          <w:szCs w:val="20"/>
        </w:rPr>
      </w:pPr>
      <w:r>
        <w:rPr>
          <w:rFonts w:ascii="Titillium" w:hAnsi="Titillium"/>
          <w:b/>
          <w:sz w:val="20"/>
          <w:szCs w:val="20"/>
        </w:rPr>
        <w:t>6.6</w:t>
      </w:r>
      <w:r w:rsidR="000B78FB" w:rsidRPr="000B78FB">
        <w:rPr>
          <w:rFonts w:ascii="Titillium" w:hAnsi="Titillium"/>
          <w:b/>
          <w:sz w:val="20"/>
          <w:szCs w:val="20"/>
        </w:rPr>
        <w:t xml:space="preserve">. </w:t>
      </w:r>
      <w:r w:rsidR="000B78FB" w:rsidRPr="000B78FB">
        <w:rPr>
          <w:rFonts w:ascii="Titillium" w:hAnsi="Titillium"/>
          <w:b/>
          <w:sz w:val="20"/>
          <w:szCs w:val="20"/>
        </w:rPr>
        <w:tab/>
        <w:t>Minimalni zahtjevi koje varijante ponude trebaju zadovoljiti, ako su dopuštene, te posebni zahtjevi za njihovo podnošenje</w:t>
      </w:r>
    </w:p>
    <w:p w14:paraId="408F2CFA" w14:textId="77777777" w:rsidR="000B78FB" w:rsidRDefault="000B78FB" w:rsidP="000B78FB">
      <w:pPr>
        <w:pStyle w:val="NoSpacing"/>
        <w:jc w:val="both"/>
        <w:rPr>
          <w:rFonts w:ascii="Titillium" w:hAnsi="Titillium"/>
          <w:sz w:val="20"/>
          <w:szCs w:val="20"/>
        </w:rPr>
      </w:pPr>
      <w:r w:rsidRPr="000B78FB">
        <w:rPr>
          <w:rFonts w:ascii="Titillium" w:hAnsi="Titillium"/>
          <w:sz w:val="20"/>
          <w:szCs w:val="20"/>
        </w:rPr>
        <w:t>Varijante ponuda nisu dopuštene.</w:t>
      </w:r>
    </w:p>
    <w:p w14:paraId="4FBD3A14" w14:textId="77777777" w:rsidR="000B78FB" w:rsidRDefault="000B78FB" w:rsidP="000B78FB">
      <w:pPr>
        <w:pStyle w:val="NoSpacing"/>
        <w:jc w:val="both"/>
        <w:rPr>
          <w:rFonts w:ascii="Titillium" w:hAnsi="Titillium"/>
          <w:sz w:val="20"/>
          <w:szCs w:val="20"/>
        </w:rPr>
      </w:pPr>
    </w:p>
    <w:p w14:paraId="2969E124" w14:textId="011CAFF6" w:rsidR="000B78FB" w:rsidRPr="000B78FB" w:rsidRDefault="00224143" w:rsidP="000B78FB">
      <w:pPr>
        <w:pStyle w:val="NoSpacing"/>
        <w:jc w:val="both"/>
        <w:rPr>
          <w:rFonts w:ascii="Titillium" w:hAnsi="Titillium"/>
          <w:b/>
          <w:sz w:val="20"/>
          <w:szCs w:val="20"/>
        </w:rPr>
      </w:pPr>
      <w:r>
        <w:rPr>
          <w:rFonts w:ascii="Titillium" w:hAnsi="Titillium"/>
          <w:b/>
          <w:sz w:val="20"/>
          <w:szCs w:val="20"/>
        </w:rPr>
        <w:t>6.7</w:t>
      </w:r>
      <w:r w:rsidR="000B78FB" w:rsidRPr="000B78FB">
        <w:rPr>
          <w:rFonts w:ascii="Titillium" w:hAnsi="Titillium"/>
          <w:b/>
          <w:sz w:val="20"/>
          <w:szCs w:val="20"/>
        </w:rPr>
        <w:t>.</w:t>
      </w:r>
      <w:r w:rsidR="000B78FB" w:rsidRPr="000B78FB">
        <w:rPr>
          <w:rFonts w:ascii="Titillium" w:hAnsi="Titillium"/>
          <w:b/>
          <w:sz w:val="20"/>
          <w:szCs w:val="20"/>
        </w:rPr>
        <w:tab/>
        <w:t>Način određivanje cijene ponude</w:t>
      </w:r>
    </w:p>
    <w:p w14:paraId="0F784D1B" w14:textId="607422EE" w:rsidR="008F63B2" w:rsidRDefault="000B78FB" w:rsidP="000B78FB">
      <w:pPr>
        <w:pStyle w:val="NoSpacing"/>
        <w:jc w:val="both"/>
        <w:rPr>
          <w:rFonts w:ascii="Titillium" w:hAnsi="Titillium"/>
          <w:sz w:val="20"/>
          <w:szCs w:val="20"/>
        </w:rPr>
      </w:pPr>
      <w:r w:rsidRPr="000B78FB">
        <w:rPr>
          <w:rFonts w:ascii="Titillium" w:hAnsi="Titillium"/>
          <w:sz w:val="20"/>
          <w:szCs w:val="20"/>
        </w:rPr>
        <w:t xml:space="preserve">Cijena ponude piše se brojkama u apsolutnom iznosu zaokruženo na dvije decimale. U cijenu ponude bez poreza na dodanu vrijednost moraju biti uračunati svi troškovi, uključujući posebne poreze, trošarine i carine, ako postoje, te popusti. Cijena ponude je nepromjenjiva. Nepromjenjiva cijena je cijena koja tijekom trajanja ugovora o javnoj nabavi ostaje nepromijenjena. </w:t>
      </w:r>
    </w:p>
    <w:p w14:paraId="5DEEEDAE" w14:textId="0E1324D2" w:rsidR="000B78FB" w:rsidRDefault="000B78FB" w:rsidP="000B78FB">
      <w:pPr>
        <w:pStyle w:val="NoSpacing"/>
        <w:jc w:val="both"/>
        <w:rPr>
          <w:rFonts w:ascii="Titillium" w:hAnsi="Titillium"/>
          <w:sz w:val="20"/>
          <w:szCs w:val="20"/>
        </w:rPr>
      </w:pPr>
      <w:r w:rsidRPr="000B78FB">
        <w:rPr>
          <w:rFonts w:ascii="Titillium" w:hAnsi="Titillium"/>
          <w:sz w:val="20"/>
          <w:szCs w:val="20"/>
        </w:rPr>
        <w:t>Ponuda se odnosi na cjelokupan predmet nabave</w:t>
      </w:r>
      <w:r>
        <w:rPr>
          <w:rFonts w:ascii="Titillium" w:hAnsi="Titillium"/>
          <w:sz w:val="20"/>
          <w:szCs w:val="20"/>
        </w:rPr>
        <w:t xml:space="preserve">. </w:t>
      </w:r>
      <w:r w:rsidRPr="000B78FB">
        <w:rPr>
          <w:rFonts w:ascii="Titillium" w:hAnsi="Titillium"/>
          <w:sz w:val="20"/>
          <w:szCs w:val="20"/>
        </w:rPr>
        <w:t xml:space="preserve">Ponuditelj se obvezuje predmet nabave izvršavati po cijeni naznačenoj u ponudi dostavljenoj na nadmetanje u otvorenom postupku javne nabave. Kada cijena ponude bez PDV-a izražena u Troškovniku ne odgovara cijeni ponude bez PDV-a izraženoj u Ponudbenom listu, vrijedi cijena ponude bez poreza na dodanu vrijednost izražena u Troškovniku. </w:t>
      </w:r>
    </w:p>
    <w:p w14:paraId="3221109E" w14:textId="77777777" w:rsidR="000B78FB" w:rsidRPr="000B78FB" w:rsidRDefault="000B78FB" w:rsidP="000B78FB">
      <w:pPr>
        <w:pStyle w:val="NoSpacing"/>
        <w:jc w:val="both"/>
        <w:rPr>
          <w:rFonts w:ascii="Titillium" w:hAnsi="Titillium"/>
          <w:sz w:val="20"/>
          <w:szCs w:val="20"/>
        </w:rPr>
      </w:pPr>
    </w:p>
    <w:p w14:paraId="39874029" w14:textId="272EE345" w:rsidR="000B78FB" w:rsidRPr="000B78FB" w:rsidRDefault="00224143" w:rsidP="000B78FB">
      <w:pPr>
        <w:pStyle w:val="NoSpacing"/>
        <w:jc w:val="both"/>
        <w:rPr>
          <w:rFonts w:ascii="Titillium" w:hAnsi="Titillium"/>
          <w:b/>
          <w:sz w:val="20"/>
          <w:szCs w:val="20"/>
        </w:rPr>
      </w:pPr>
      <w:r>
        <w:rPr>
          <w:rFonts w:ascii="Titillium" w:hAnsi="Titillium"/>
          <w:b/>
          <w:sz w:val="20"/>
          <w:szCs w:val="20"/>
        </w:rPr>
        <w:t>6.8</w:t>
      </w:r>
      <w:r w:rsidR="000B78FB" w:rsidRPr="000B78FB">
        <w:rPr>
          <w:rFonts w:ascii="Titillium" w:hAnsi="Titillium"/>
          <w:b/>
          <w:sz w:val="20"/>
          <w:szCs w:val="20"/>
        </w:rPr>
        <w:t xml:space="preserve">. </w:t>
      </w:r>
      <w:r w:rsidR="000B78FB" w:rsidRPr="000B78FB">
        <w:rPr>
          <w:rFonts w:ascii="Titillium" w:hAnsi="Titillium"/>
          <w:b/>
          <w:sz w:val="20"/>
          <w:szCs w:val="20"/>
        </w:rPr>
        <w:tab/>
        <w:t xml:space="preserve"> Valuta ponude</w:t>
      </w:r>
    </w:p>
    <w:p w14:paraId="14B538AB" w14:textId="77777777" w:rsidR="000B78FB" w:rsidRDefault="000B78FB" w:rsidP="000B78FB">
      <w:pPr>
        <w:pStyle w:val="NoSpacing"/>
        <w:jc w:val="both"/>
        <w:rPr>
          <w:rFonts w:ascii="Titillium" w:hAnsi="Titillium"/>
          <w:sz w:val="20"/>
          <w:szCs w:val="20"/>
        </w:rPr>
      </w:pPr>
      <w:r>
        <w:rPr>
          <w:rFonts w:ascii="Titillium" w:hAnsi="Titillium"/>
          <w:sz w:val="20"/>
          <w:szCs w:val="20"/>
        </w:rPr>
        <w:t>Ponuditelj iskazuje cijenu ponude u hrvatskim kunama.</w:t>
      </w:r>
    </w:p>
    <w:p w14:paraId="074BAE73" w14:textId="77777777" w:rsidR="000B78FB" w:rsidRDefault="000B78FB" w:rsidP="000B78FB">
      <w:pPr>
        <w:pStyle w:val="NoSpacing"/>
        <w:jc w:val="both"/>
        <w:rPr>
          <w:rFonts w:ascii="Titillium" w:hAnsi="Titillium"/>
          <w:sz w:val="20"/>
          <w:szCs w:val="20"/>
        </w:rPr>
      </w:pPr>
    </w:p>
    <w:p w14:paraId="7D701956" w14:textId="657B4D04" w:rsidR="000B78FB" w:rsidRPr="000B78FB" w:rsidRDefault="00224143" w:rsidP="000B78FB">
      <w:pPr>
        <w:pStyle w:val="NoSpacing"/>
        <w:jc w:val="both"/>
        <w:rPr>
          <w:rFonts w:ascii="Titillium" w:hAnsi="Titillium"/>
          <w:b/>
          <w:sz w:val="20"/>
          <w:szCs w:val="20"/>
        </w:rPr>
      </w:pPr>
      <w:r>
        <w:rPr>
          <w:rFonts w:ascii="Titillium" w:hAnsi="Titillium"/>
          <w:b/>
          <w:sz w:val="20"/>
          <w:szCs w:val="20"/>
        </w:rPr>
        <w:t>6.9</w:t>
      </w:r>
      <w:r w:rsidR="000B78FB" w:rsidRPr="000B78FB">
        <w:rPr>
          <w:rFonts w:ascii="Titillium" w:hAnsi="Titillium"/>
          <w:b/>
          <w:sz w:val="20"/>
          <w:szCs w:val="20"/>
        </w:rPr>
        <w:t xml:space="preserve">. </w:t>
      </w:r>
      <w:r w:rsidR="000B78FB" w:rsidRPr="000B78FB">
        <w:rPr>
          <w:rFonts w:ascii="Titillium" w:hAnsi="Titillium"/>
          <w:b/>
          <w:sz w:val="20"/>
          <w:szCs w:val="20"/>
        </w:rPr>
        <w:tab/>
        <w:t xml:space="preserve"> Kriterij za odabir ponude</w:t>
      </w:r>
    </w:p>
    <w:p w14:paraId="35F06C53" w14:textId="1745C08F" w:rsidR="008F63B2" w:rsidRDefault="000B78FB" w:rsidP="000B78FB">
      <w:pPr>
        <w:pStyle w:val="NoSpacing"/>
        <w:jc w:val="both"/>
        <w:rPr>
          <w:rFonts w:ascii="Titillium" w:hAnsi="Titillium"/>
          <w:sz w:val="20"/>
          <w:szCs w:val="20"/>
        </w:rPr>
      </w:pPr>
      <w:r w:rsidRPr="000B78FB">
        <w:rPr>
          <w:rFonts w:ascii="Titillium" w:hAnsi="Titillium"/>
          <w:sz w:val="20"/>
          <w:szCs w:val="20"/>
        </w:rPr>
        <w:t xml:space="preserve">Kriterij za odabir ponude je </w:t>
      </w:r>
      <w:r w:rsidRPr="000B78FB">
        <w:rPr>
          <w:rFonts w:ascii="Titillium" w:hAnsi="Titillium"/>
          <w:b/>
          <w:sz w:val="20"/>
          <w:szCs w:val="20"/>
        </w:rPr>
        <w:t>ekonomski najpovoljnija ponuda</w:t>
      </w:r>
      <w:r w:rsidRPr="000B78FB">
        <w:rPr>
          <w:rFonts w:ascii="Titillium" w:hAnsi="Titillium"/>
          <w:sz w:val="20"/>
          <w:szCs w:val="20"/>
        </w:rPr>
        <w:t xml:space="preserve"> na temelju članka 283. ZJN 2016.</w:t>
      </w:r>
    </w:p>
    <w:p w14:paraId="69F8DEA7" w14:textId="77777777" w:rsidR="008F63B2" w:rsidRDefault="008F63B2" w:rsidP="000B78FB">
      <w:pPr>
        <w:pStyle w:val="NoSpacing"/>
        <w:jc w:val="both"/>
        <w:rPr>
          <w:rFonts w:ascii="Titillium" w:hAnsi="Titillium"/>
          <w:sz w:val="20"/>
          <w:szCs w:val="20"/>
        </w:rPr>
      </w:pPr>
    </w:p>
    <w:p w14:paraId="1AA8CD81" w14:textId="2E455C3D" w:rsidR="000B78FB" w:rsidRPr="000B78FB" w:rsidRDefault="000B78FB" w:rsidP="000B78FB">
      <w:pPr>
        <w:pStyle w:val="NoSpacing"/>
        <w:jc w:val="both"/>
        <w:rPr>
          <w:rFonts w:ascii="Titillium" w:hAnsi="Titillium"/>
          <w:sz w:val="20"/>
          <w:szCs w:val="20"/>
        </w:rPr>
      </w:pPr>
      <w:r w:rsidRPr="000B78FB">
        <w:rPr>
          <w:rFonts w:ascii="Titillium" w:hAnsi="Titillium"/>
          <w:sz w:val="20"/>
          <w:szCs w:val="20"/>
        </w:rPr>
        <w:t>U slučaju da su dvije ili više valjanih ponuda jednako rangirane prema kriteriju odabira, Naručitelj će, sukladno članku 302. stavku 3. ZJN 2016, odabrati ponudu koja je zaprimljena ranije.</w:t>
      </w:r>
    </w:p>
    <w:p w14:paraId="58E085FC" w14:textId="77777777" w:rsidR="00B942CA" w:rsidRDefault="00B942CA" w:rsidP="00B942CA">
      <w:pPr>
        <w:pStyle w:val="NoSpacing"/>
        <w:jc w:val="both"/>
        <w:rPr>
          <w:rFonts w:ascii="Titillium" w:hAnsi="Titillium"/>
          <w:sz w:val="20"/>
          <w:szCs w:val="20"/>
        </w:rPr>
      </w:pPr>
    </w:p>
    <w:p w14:paraId="71BC381E" w14:textId="77777777" w:rsidR="00C46229" w:rsidRDefault="00C46229" w:rsidP="00794495">
      <w:pPr>
        <w:pStyle w:val="NoSpacing"/>
        <w:jc w:val="both"/>
        <w:rPr>
          <w:rFonts w:ascii="Titillium" w:hAnsi="Titillium"/>
          <w:sz w:val="20"/>
          <w:szCs w:val="20"/>
        </w:rPr>
      </w:pPr>
    </w:p>
    <w:p w14:paraId="1255A505" w14:textId="379B4EE7" w:rsidR="0053196F" w:rsidRDefault="008C4027" w:rsidP="008C4027">
      <w:pPr>
        <w:rPr>
          <w:b/>
        </w:rPr>
      </w:pPr>
      <w:r>
        <w:rPr>
          <w:b/>
        </w:rPr>
        <w:t>KRITE</w:t>
      </w:r>
      <w:r w:rsidR="0053196F">
        <w:rPr>
          <w:b/>
        </w:rPr>
        <w:t>RIJI ZA ODABIR EKONOMSKI NAJPOVOLJNIJE PONUDE:</w:t>
      </w:r>
    </w:p>
    <w:tbl>
      <w:tblPr>
        <w:tblStyle w:val="TableGrid"/>
        <w:tblW w:w="0" w:type="auto"/>
        <w:tblLook w:val="04A0" w:firstRow="1" w:lastRow="0" w:firstColumn="1" w:lastColumn="0" w:noHBand="0" w:noVBand="1"/>
      </w:tblPr>
      <w:tblGrid>
        <w:gridCol w:w="250"/>
        <w:gridCol w:w="3269"/>
        <w:gridCol w:w="1579"/>
        <w:gridCol w:w="1831"/>
        <w:gridCol w:w="2359"/>
      </w:tblGrid>
      <w:tr w:rsidR="001E55FF" w14:paraId="00FAAAB3" w14:textId="77777777" w:rsidTr="001E55FF">
        <w:tc>
          <w:tcPr>
            <w:tcW w:w="3519" w:type="dxa"/>
            <w:gridSpan w:val="2"/>
          </w:tcPr>
          <w:p w14:paraId="0C81E170" w14:textId="0B85A07F" w:rsidR="001E55FF" w:rsidRPr="00E02494" w:rsidRDefault="001E55FF" w:rsidP="008C4027">
            <w:pPr>
              <w:rPr>
                <w:rFonts w:ascii="Titillium" w:hAnsi="Titillium"/>
                <w:b/>
              </w:rPr>
            </w:pPr>
            <w:r w:rsidRPr="00E02494">
              <w:rPr>
                <w:rFonts w:ascii="Titillium" w:hAnsi="Titillium"/>
                <w:b/>
              </w:rPr>
              <w:t xml:space="preserve">                           Kriterij </w:t>
            </w:r>
          </w:p>
        </w:tc>
        <w:tc>
          <w:tcPr>
            <w:tcW w:w="1579" w:type="dxa"/>
          </w:tcPr>
          <w:p w14:paraId="63DD5BAF" w14:textId="41D759E0" w:rsidR="001E55FF" w:rsidRPr="00E02494" w:rsidRDefault="001E55FF" w:rsidP="008C4027">
            <w:pPr>
              <w:rPr>
                <w:rFonts w:ascii="Titillium" w:hAnsi="Titillium"/>
                <w:b/>
              </w:rPr>
            </w:pPr>
            <w:r>
              <w:rPr>
                <w:rFonts w:ascii="Titillium" w:hAnsi="Titillium"/>
                <w:b/>
              </w:rPr>
              <w:t>Kratica kriterija</w:t>
            </w:r>
          </w:p>
        </w:tc>
        <w:tc>
          <w:tcPr>
            <w:tcW w:w="1831" w:type="dxa"/>
          </w:tcPr>
          <w:p w14:paraId="6DB23D82" w14:textId="5EB78788" w:rsidR="001E55FF" w:rsidRPr="00E02494" w:rsidRDefault="001E55FF" w:rsidP="008C4027">
            <w:pPr>
              <w:rPr>
                <w:rFonts w:ascii="Titillium" w:hAnsi="Titillium"/>
                <w:b/>
              </w:rPr>
            </w:pPr>
            <w:r>
              <w:rPr>
                <w:rFonts w:ascii="Titillium" w:hAnsi="Titillium"/>
                <w:b/>
              </w:rPr>
              <w:t>Relativni ponder</w:t>
            </w:r>
          </w:p>
        </w:tc>
        <w:tc>
          <w:tcPr>
            <w:tcW w:w="2359" w:type="dxa"/>
          </w:tcPr>
          <w:p w14:paraId="69EE95EE" w14:textId="4C3141FB" w:rsidR="001E55FF" w:rsidRPr="00E02494" w:rsidRDefault="001E55FF" w:rsidP="008C4027">
            <w:pPr>
              <w:rPr>
                <w:rFonts w:ascii="Titillium" w:hAnsi="Titillium"/>
                <w:b/>
              </w:rPr>
            </w:pPr>
            <w:r w:rsidRPr="00E02494">
              <w:rPr>
                <w:rFonts w:ascii="Titillium" w:hAnsi="Titillium"/>
                <w:b/>
              </w:rPr>
              <w:t>Maksimalni broj bodova po svakom kriteriju</w:t>
            </w:r>
          </w:p>
        </w:tc>
      </w:tr>
      <w:tr w:rsidR="001E55FF" w14:paraId="2C8D0C51" w14:textId="77777777" w:rsidTr="001E55FF">
        <w:tc>
          <w:tcPr>
            <w:tcW w:w="3519" w:type="dxa"/>
            <w:gridSpan w:val="2"/>
          </w:tcPr>
          <w:p w14:paraId="2B734356" w14:textId="663CA170" w:rsidR="001E55FF" w:rsidRPr="00E02494" w:rsidRDefault="001E55FF" w:rsidP="00F77A9D">
            <w:pPr>
              <w:pStyle w:val="ListParagraph"/>
              <w:numPr>
                <w:ilvl w:val="0"/>
                <w:numId w:val="26"/>
              </w:numPr>
              <w:rPr>
                <w:rFonts w:ascii="Titillium" w:hAnsi="Titillium"/>
                <w:b/>
                <w:sz w:val="20"/>
                <w:szCs w:val="20"/>
              </w:rPr>
            </w:pPr>
            <w:r w:rsidRPr="00E02494">
              <w:rPr>
                <w:rFonts w:ascii="Titillium" w:hAnsi="Titillium"/>
                <w:b/>
                <w:sz w:val="20"/>
                <w:szCs w:val="20"/>
              </w:rPr>
              <w:t>Cijena ponude</w:t>
            </w:r>
            <w:r>
              <w:rPr>
                <w:rFonts w:ascii="Titillium" w:hAnsi="Titillium"/>
                <w:b/>
                <w:sz w:val="20"/>
                <w:szCs w:val="20"/>
              </w:rPr>
              <w:t xml:space="preserve"> </w:t>
            </w:r>
          </w:p>
        </w:tc>
        <w:tc>
          <w:tcPr>
            <w:tcW w:w="1579" w:type="dxa"/>
          </w:tcPr>
          <w:p w14:paraId="03325F1C" w14:textId="7D9FCEAC" w:rsidR="001E55FF" w:rsidRPr="00E02494" w:rsidRDefault="001E55FF" w:rsidP="008C4027">
            <w:pPr>
              <w:rPr>
                <w:rFonts w:ascii="Titillium" w:hAnsi="Titillium"/>
                <w:b/>
              </w:rPr>
            </w:pPr>
            <w:r>
              <w:rPr>
                <w:rFonts w:ascii="Titillium" w:hAnsi="Titillium"/>
                <w:b/>
              </w:rPr>
              <w:t>(C)</w:t>
            </w:r>
          </w:p>
        </w:tc>
        <w:tc>
          <w:tcPr>
            <w:tcW w:w="1831" w:type="dxa"/>
          </w:tcPr>
          <w:p w14:paraId="7FEAF775" w14:textId="3E133DB0" w:rsidR="001E55FF" w:rsidRPr="00E02494" w:rsidRDefault="001E55FF" w:rsidP="008C4027">
            <w:pPr>
              <w:rPr>
                <w:rFonts w:ascii="Titillium" w:hAnsi="Titillium"/>
                <w:b/>
              </w:rPr>
            </w:pPr>
            <w:r w:rsidRPr="00E02494">
              <w:rPr>
                <w:rFonts w:ascii="Titillium" w:hAnsi="Titillium"/>
                <w:b/>
              </w:rPr>
              <w:t>30%</w:t>
            </w:r>
          </w:p>
        </w:tc>
        <w:tc>
          <w:tcPr>
            <w:tcW w:w="2359" w:type="dxa"/>
          </w:tcPr>
          <w:p w14:paraId="74243834" w14:textId="271DCE38" w:rsidR="001E55FF" w:rsidRPr="00E02494" w:rsidRDefault="001E55FF" w:rsidP="008C4027">
            <w:pPr>
              <w:rPr>
                <w:rFonts w:ascii="Titillium" w:hAnsi="Titillium"/>
                <w:b/>
              </w:rPr>
            </w:pPr>
            <w:r w:rsidRPr="00E02494">
              <w:rPr>
                <w:rFonts w:ascii="Titillium" w:hAnsi="Titillium"/>
                <w:b/>
              </w:rPr>
              <w:t>30</w:t>
            </w:r>
          </w:p>
        </w:tc>
      </w:tr>
      <w:tr w:rsidR="001E55FF" w14:paraId="1BF92D52" w14:textId="77777777" w:rsidTr="001E55FF">
        <w:tc>
          <w:tcPr>
            <w:tcW w:w="3519" w:type="dxa"/>
            <w:gridSpan w:val="2"/>
          </w:tcPr>
          <w:p w14:paraId="3A1E48C8" w14:textId="724F12E9" w:rsidR="001E55FF" w:rsidRPr="00E02494" w:rsidRDefault="001E55FF" w:rsidP="00F77A9D">
            <w:pPr>
              <w:pStyle w:val="ListParagraph"/>
              <w:numPr>
                <w:ilvl w:val="0"/>
                <w:numId w:val="26"/>
              </w:numPr>
              <w:rPr>
                <w:rFonts w:ascii="Titillium" w:hAnsi="Titillium"/>
                <w:b/>
                <w:sz w:val="20"/>
                <w:szCs w:val="20"/>
              </w:rPr>
            </w:pPr>
            <w:r w:rsidRPr="00E02494">
              <w:rPr>
                <w:rFonts w:ascii="Titillium" w:hAnsi="Titillium"/>
                <w:b/>
                <w:sz w:val="20"/>
                <w:szCs w:val="20"/>
              </w:rPr>
              <w:t>Specifično iskustvo stručnjaka</w:t>
            </w:r>
            <w:r>
              <w:rPr>
                <w:rFonts w:ascii="Titillium" w:hAnsi="Titillium"/>
                <w:b/>
                <w:sz w:val="20"/>
                <w:szCs w:val="20"/>
              </w:rPr>
              <w:t xml:space="preserve"> </w:t>
            </w:r>
          </w:p>
        </w:tc>
        <w:tc>
          <w:tcPr>
            <w:tcW w:w="1579" w:type="dxa"/>
          </w:tcPr>
          <w:p w14:paraId="054FC17C" w14:textId="5E957A51" w:rsidR="001E55FF" w:rsidRDefault="001E55FF" w:rsidP="008C4027">
            <w:pPr>
              <w:rPr>
                <w:rFonts w:ascii="Titillium" w:hAnsi="Titillium"/>
                <w:b/>
              </w:rPr>
            </w:pPr>
            <w:r>
              <w:rPr>
                <w:rFonts w:ascii="Titillium" w:hAnsi="Titillium"/>
                <w:b/>
              </w:rPr>
              <w:t>(SIS)</w:t>
            </w:r>
          </w:p>
        </w:tc>
        <w:tc>
          <w:tcPr>
            <w:tcW w:w="1831" w:type="dxa"/>
          </w:tcPr>
          <w:p w14:paraId="36DAF3D4" w14:textId="3E77644D" w:rsidR="001E55FF" w:rsidRPr="00E02494" w:rsidRDefault="001E55FF" w:rsidP="008C4027">
            <w:pPr>
              <w:rPr>
                <w:rFonts w:ascii="Titillium" w:hAnsi="Titillium"/>
                <w:b/>
              </w:rPr>
            </w:pPr>
            <w:r>
              <w:rPr>
                <w:rFonts w:ascii="Titillium" w:hAnsi="Titillium"/>
                <w:b/>
              </w:rPr>
              <w:t>5</w:t>
            </w:r>
            <w:r w:rsidRPr="00E02494">
              <w:rPr>
                <w:rFonts w:ascii="Titillium" w:hAnsi="Titillium"/>
                <w:b/>
              </w:rPr>
              <w:t>0%</w:t>
            </w:r>
          </w:p>
        </w:tc>
        <w:tc>
          <w:tcPr>
            <w:tcW w:w="2359" w:type="dxa"/>
          </w:tcPr>
          <w:p w14:paraId="08C8D752" w14:textId="04FE9BDA" w:rsidR="001E55FF" w:rsidRPr="00E02494" w:rsidRDefault="001E55FF" w:rsidP="008C4027">
            <w:pPr>
              <w:rPr>
                <w:rFonts w:ascii="Titillium" w:hAnsi="Titillium"/>
                <w:b/>
              </w:rPr>
            </w:pPr>
            <w:r>
              <w:rPr>
                <w:rFonts w:ascii="Titillium" w:hAnsi="Titillium"/>
                <w:b/>
              </w:rPr>
              <w:t>5</w:t>
            </w:r>
            <w:r w:rsidRPr="00E02494">
              <w:rPr>
                <w:rFonts w:ascii="Titillium" w:hAnsi="Titillium"/>
                <w:b/>
              </w:rPr>
              <w:t>0</w:t>
            </w:r>
          </w:p>
        </w:tc>
      </w:tr>
      <w:tr w:rsidR="001E55FF" w14:paraId="0080E0E8" w14:textId="77777777" w:rsidTr="001E55FF">
        <w:tc>
          <w:tcPr>
            <w:tcW w:w="3519" w:type="dxa"/>
            <w:gridSpan w:val="2"/>
          </w:tcPr>
          <w:p w14:paraId="414C7609" w14:textId="12CF55A7" w:rsidR="001E55FF" w:rsidRPr="00E02494" w:rsidRDefault="001E55FF" w:rsidP="00F77A9D">
            <w:pPr>
              <w:pStyle w:val="ListParagraph"/>
              <w:numPr>
                <w:ilvl w:val="0"/>
                <w:numId w:val="26"/>
              </w:numPr>
              <w:rPr>
                <w:rFonts w:ascii="Titillium" w:hAnsi="Titillium"/>
                <w:b/>
                <w:sz w:val="20"/>
                <w:szCs w:val="20"/>
              </w:rPr>
            </w:pPr>
            <w:r>
              <w:rPr>
                <w:rFonts w:ascii="Titillium" w:hAnsi="Titillium"/>
                <w:b/>
                <w:sz w:val="20"/>
                <w:szCs w:val="20"/>
              </w:rPr>
              <w:t>M</w:t>
            </w:r>
            <w:r w:rsidRPr="00E02494">
              <w:rPr>
                <w:rFonts w:ascii="Titillium" w:hAnsi="Titillium"/>
                <w:b/>
                <w:sz w:val="20"/>
                <w:szCs w:val="20"/>
              </w:rPr>
              <w:t>etodologija</w:t>
            </w:r>
            <w:r>
              <w:rPr>
                <w:rFonts w:ascii="Titillium" w:hAnsi="Titillium"/>
                <w:b/>
                <w:sz w:val="20"/>
                <w:szCs w:val="20"/>
              </w:rPr>
              <w:t xml:space="preserve"> i pristup</w:t>
            </w:r>
            <w:r w:rsidRPr="00E02494">
              <w:rPr>
                <w:rFonts w:ascii="Titillium" w:hAnsi="Titillium"/>
                <w:b/>
                <w:sz w:val="20"/>
                <w:szCs w:val="20"/>
              </w:rPr>
              <w:t xml:space="preserve"> pružanja usluge</w:t>
            </w:r>
            <w:r>
              <w:rPr>
                <w:rFonts w:ascii="Titillium" w:hAnsi="Titillium"/>
                <w:b/>
                <w:sz w:val="20"/>
                <w:szCs w:val="20"/>
              </w:rPr>
              <w:t xml:space="preserve"> </w:t>
            </w:r>
          </w:p>
        </w:tc>
        <w:tc>
          <w:tcPr>
            <w:tcW w:w="1579" w:type="dxa"/>
          </w:tcPr>
          <w:p w14:paraId="253E4361" w14:textId="371593BA" w:rsidR="001E55FF" w:rsidRDefault="001E55FF" w:rsidP="008C4027">
            <w:pPr>
              <w:rPr>
                <w:rFonts w:ascii="Titillium" w:hAnsi="Titillium"/>
                <w:b/>
              </w:rPr>
            </w:pPr>
            <w:r>
              <w:rPr>
                <w:rFonts w:ascii="Titillium" w:hAnsi="Titillium"/>
                <w:b/>
              </w:rPr>
              <w:t>(MPPU)</w:t>
            </w:r>
          </w:p>
        </w:tc>
        <w:tc>
          <w:tcPr>
            <w:tcW w:w="1831" w:type="dxa"/>
          </w:tcPr>
          <w:p w14:paraId="2D59098B" w14:textId="5FBE5E8D" w:rsidR="001E55FF" w:rsidRPr="00E02494" w:rsidRDefault="001E55FF" w:rsidP="008C4027">
            <w:pPr>
              <w:rPr>
                <w:rFonts w:ascii="Titillium" w:hAnsi="Titillium"/>
                <w:b/>
              </w:rPr>
            </w:pPr>
            <w:r>
              <w:rPr>
                <w:rFonts w:ascii="Titillium" w:hAnsi="Titillium"/>
                <w:b/>
              </w:rPr>
              <w:t>2</w:t>
            </w:r>
            <w:r w:rsidRPr="00E02494">
              <w:rPr>
                <w:rFonts w:ascii="Titillium" w:hAnsi="Titillium"/>
                <w:b/>
              </w:rPr>
              <w:t>0%</w:t>
            </w:r>
          </w:p>
        </w:tc>
        <w:tc>
          <w:tcPr>
            <w:tcW w:w="2359" w:type="dxa"/>
          </w:tcPr>
          <w:p w14:paraId="4BCFDDE8" w14:textId="2A3D6D5D" w:rsidR="001E55FF" w:rsidRPr="00E02494" w:rsidRDefault="001E55FF" w:rsidP="008C4027">
            <w:pPr>
              <w:rPr>
                <w:rFonts w:ascii="Titillium" w:hAnsi="Titillium"/>
                <w:b/>
              </w:rPr>
            </w:pPr>
            <w:r>
              <w:rPr>
                <w:rFonts w:ascii="Titillium" w:hAnsi="Titillium"/>
                <w:b/>
              </w:rPr>
              <w:t>2</w:t>
            </w:r>
            <w:r w:rsidRPr="00E02494">
              <w:rPr>
                <w:rFonts w:ascii="Titillium" w:hAnsi="Titillium"/>
                <w:b/>
              </w:rPr>
              <w:t>0</w:t>
            </w:r>
          </w:p>
        </w:tc>
      </w:tr>
      <w:tr w:rsidR="001E55FF" w14:paraId="14C5DEF0" w14:textId="77777777" w:rsidTr="001E55FF">
        <w:tc>
          <w:tcPr>
            <w:tcW w:w="250" w:type="dxa"/>
          </w:tcPr>
          <w:p w14:paraId="36EEC45C" w14:textId="77777777" w:rsidR="001E55FF" w:rsidRPr="00E02494" w:rsidRDefault="001E55FF" w:rsidP="00794495">
            <w:pPr>
              <w:pStyle w:val="NoSpacing"/>
              <w:jc w:val="both"/>
              <w:rPr>
                <w:rFonts w:ascii="Titillium" w:hAnsi="Titillium"/>
                <w:b/>
              </w:rPr>
            </w:pPr>
          </w:p>
        </w:tc>
        <w:tc>
          <w:tcPr>
            <w:tcW w:w="6679" w:type="dxa"/>
            <w:gridSpan w:val="3"/>
          </w:tcPr>
          <w:p w14:paraId="26655CCE" w14:textId="60ABB940" w:rsidR="001E55FF" w:rsidRPr="00E02494" w:rsidRDefault="001E55FF" w:rsidP="00794495">
            <w:pPr>
              <w:pStyle w:val="NoSpacing"/>
              <w:jc w:val="both"/>
              <w:rPr>
                <w:rFonts w:ascii="Titillium" w:hAnsi="Titillium"/>
                <w:b/>
              </w:rPr>
            </w:pPr>
            <w:r w:rsidRPr="00E02494">
              <w:rPr>
                <w:rFonts w:ascii="Titillium" w:hAnsi="Titillium"/>
                <w:b/>
              </w:rPr>
              <w:t>Maksimalni broj bodova</w:t>
            </w:r>
          </w:p>
        </w:tc>
        <w:tc>
          <w:tcPr>
            <w:tcW w:w="2359" w:type="dxa"/>
          </w:tcPr>
          <w:p w14:paraId="19A61D7C" w14:textId="3D0C0784" w:rsidR="001E55FF" w:rsidRPr="00E02494" w:rsidRDefault="001E55FF" w:rsidP="00794495">
            <w:pPr>
              <w:pStyle w:val="NoSpacing"/>
              <w:jc w:val="both"/>
              <w:rPr>
                <w:rFonts w:ascii="Titillium" w:hAnsi="Titillium"/>
                <w:b/>
              </w:rPr>
            </w:pPr>
            <w:r w:rsidRPr="00E02494">
              <w:rPr>
                <w:rFonts w:ascii="Titillium" w:hAnsi="Titillium"/>
                <w:b/>
              </w:rPr>
              <w:t>100</w:t>
            </w:r>
          </w:p>
        </w:tc>
      </w:tr>
    </w:tbl>
    <w:p w14:paraId="1708F563" w14:textId="77777777" w:rsidR="008C4027" w:rsidRDefault="008C4027" w:rsidP="00794495">
      <w:pPr>
        <w:pStyle w:val="NoSpacing"/>
        <w:jc w:val="both"/>
        <w:rPr>
          <w:rFonts w:ascii="Titillium" w:hAnsi="Titillium"/>
          <w:sz w:val="20"/>
          <w:szCs w:val="20"/>
        </w:rPr>
      </w:pPr>
    </w:p>
    <w:p w14:paraId="2ABB8DC0" w14:textId="77777777" w:rsidR="00E02494" w:rsidRPr="00E02494" w:rsidRDefault="00E02494" w:rsidP="00E02494">
      <w:pPr>
        <w:autoSpaceDE w:val="0"/>
        <w:autoSpaceDN w:val="0"/>
        <w:adjustRightInd w:val="0"/>
        <w:spacing w:after="0" w:line="240" w:lineRule="auto"/>
        <w:rPr>
          <w:rFonts w:ascii="Titillium" w:eastAsiaTheme="minorHAnsi" w:hAnsi="Titillium" w:cs="Arial"/>
          <w:color w:val="000000"/>
          <w:sz w:val="20"/>
          <w:szCs w:val="20"/>
        </w:rPr>
      </w:pPr>
      <w:r w:rsidRPr="00E02494">
        <w:rPr>
          <w:rFonts w:ascii="Titillium" w:eastAsiaTheme="minorHAnsi" w:hAnsi="Titillium" w:cs="Arial"/>
          <w:b/>
          <w:bCs/>
          <w:color w:val="000000"/>
          <w:sz w:val="20"/>
          <w:szCs w:val="20"/>
        </w:rPr>
        <w:t xml:space="preserve">Opis kriterija i način utvrđivanja bodovne vrijednosti </w:t>
      </w:r>
    </w:p>
    <w:p w14:paraId="7839C88D" w14:textId="7A9F24B9" w:rsidR="00E02494" w:rsidRPr="00E02494" w:rsidRDefault="00224143" w:rsidP="00E02494">
      <w:pPr>
        <w:autoSpaceDE w:val="0"/>
        <w:autoSpaceDN w:val="0"/>
        <w:adjustRightInd w:val="0"/>
        <w:spacing w:after="0" w:line="240" w:lineRule="auto"/>
        <w:rPr>
          <w:rFonts w:ascii="Titillium" w:eastAsiaTheme="minorHAnsi" w:hAnsi="Titillium" w:cs="Arial"/>
          <w:color w:val="000000"/>
          <w:sz w:val="20"/>
          <w:szCs w:val="20"/>
        </w:rPr>
      </w:pPr>
      <w:r>
        <w:rPr>
          <w:rFonts w:ascii="Titillium" w:eastAsiaTheme="minorHAnsi" w:hAnsi="Titillium" w:cs="Arial"/>
          <w:b/>
          <w:bCs/>
          <w:color w:val="000000"/>
          <w:sz w:val="20"/>
          <w:szCs w:val="20"/>
        </w:rPr>
        <w:t>6.9</w:t>
      </w:r>
      <w:r w:rsidR="00FB10EF" w:rsidRPr="00FB10EF">
        <w:rPr>
          <w:rFonts w:ascii="Titillium" w:eastAsiaTheme="minorHAnsi" w:hAnsi="Titillium" w:cs="Arial"/>
          <w:b/>
          <w:bCs/>
          <w:color w:val="000000"/>
          <w:sz w:val="20"/>
          <w:szCs w:val="20"/>
        </w:rPr>
        <w:t xml:space="preserve">.1. </w:t>
      </w:r>
      <w:r w:rsidR="00E02494" w:rsidRPr="00E02494">
        <w:rPr>
          <w:rFonts w:ascii="Titillium" w:eastAsiaTheme="minorHAnsi" w:hAnsi="Titillium" w:cs="Arial"/>
          <w:b/>
          <w:bCs/>
          <w:color w:val="000000"/>
          <w:sz w:val="20"/>
          <w:szCs w:val="20"/>
        </w:rPr>
        <w:t xml:space="preserve">Cijena ponude </w:t>
      </w:r>
    </w:p>
    <w:p w14:paraId="5BCFC634" w14:textId="77777777" w:rsidR="00E02494" w:rsidRPr="00E02494" w:rsidRDefault="00E02494" w:rsidP="00E02494">
      <w:pPr>
        <w:autoSpaceDE w:val="0"/>
        <w:autoSpaceDN w:val="0"/>
        <w:adjustRightInd w:val="0"/>
        <w:spacing w:after="0" w:line="240" w:lineRule="auto"/>
        <w:rPr>
          <w:rFonts w:ascii="Titillium" w:eastAsiaTheme="minorHAnsi" w:hAnsi="Titillium" w:cs="Arial"/>
          <w:color w:val="000000"/>
          <w:sz w:val="20"/>
          <w:szCs w:val="20"/>
        </w:rPr>
      </w:pPr>
      <w:r w:rsidRPr="00E02494">
        <w:rPr>
          <w:rFonts w:ascii="Titillium" w:eastAsiaTheme="minorHAnsi" w:hAnsi="Titillium" w:cs="Arial"/>
          <w:color w:val="000000"/>
          <w:sz w:val="20"/>
          <w:szCs w:val="20"/>
        </w:rPr>
        <w:t xml:space="preserve">Naručitelj kao prvi kriterij određuje cijenu ponude. </w:t>
      </w:r>
    </w:p>
    <w:p w14:paraId="4CF391D4" w14:textId="12B0CB99" w:rsidR="00E02494" w:rsidRPr="00E02494" w:rsidRDefault="00E02494" w:rsidP="00E02494">
      <w:pPr>
        <w:autoSpaceDE w:val="0"/>
        <w:autoSpaceDN w:val="0"/>
        <w:adjustRightInd w:val="0"/>
        <w:spacing w:after="0" w:line="240" w:lineRule="auto"/>
        <w:rPr>
          <w:rFonts w:ascii="Titillium" w:eastAsiaTheme="minorHAnsi" w:hAnsi="Titillium" w:cs="Arial"/>
          <w:color w:val="000000"/>
          <w:sz w:val="20"/>
          <w:szCs w:val="20"/>
        </w:rPr>
      </w:pPr>
      <w:r w:rsidRPr="00E02494">
        <w:rPr>
          <w:rFonts w:ascii="Titillium" w:eastAsiaTheme="minorHAnsi" w:hAnsi="Titillium" w:cs="Arial"/>
          <w:color w:val="000000"/>
          <w:sz w:val="20"/>
          <w:szCs w:val="20"/>
        </w:rPr>
        <w:t>Maksimalni broj bodova koji Ponuditelj može dobiti prema ovom kriteriju je 30. Onaj Ponuditelj koji dostavi ponudu s najnižom cijenom dobit će maksimalni broj bodova</w:t>
      </w:r>
      <w:r w:rsidR="00BD121A">
        <w:rPr>
          <w:rFonts w:ascii="Titillium" w:eastAsiaTheme="minorHAnsi" w:hAnsi="Titillium" w:cs="Arial"/>
          <w:color w:val="000000"/>
          <w:sz w:val="20"/>
          <w:szCs w:val="20"/>
        </w:rPr>
        <w:t>, 30 bodova</w:t>
      </w:r>
      <w:r w:rsidRPr="00E02494">
        <w:rPr>
          <w:rFonts w:ascii="Titillium" w:eastAsiaTheme="minorHAnsi" w:hAnsi="Titillium" w:cs="Arial"/>
          <w:color w:val="000000"/>
          <w:sz w:val="20"/>
          <w:szCs w:val="20"/>
        </w:rPr>
        <w:t xml:space="preserve">. </w:t>
      </w:r>
    </w:p>
    <w:p w14:paraId="372E6329" w14:textId="77777777" w:rsidR="00E02494" w:rsidRPr="00E02494" w:rsidRDefault="00E02494" w:rsidP="00E02494">
      <w:pPr>
        <w:autoSpaceDE w:val="0"/>
        <w:autoSpaceDN w:val="0"/>
        <w:adjustRightInd w:val="0"/>
        <w:spacing w:after="0" w:line="240" w:lineRule="auto"/>
        <w:rPr>
          <w:rFonts w:ascii="Titillium" w:eastAsiaTheme="minorHAnsi" w:hAnsi="Titillium" w:cs="Arial"/>
          <w:color w:val="000000"/>
          <w:sz w:val="20"/>
          <w:szCs w:val="20"/>
        </w:rPr>
      </w:pPr>
      <w:r w:rsidRPr="00E02494">
        <w:rPr>
          <w:rFonts w:ascii="Titillium" w:eastAsiaTheme="minorHAnsi" w:hAnsi="Titillium" w:cs="Arial"/>
          <w:color w:val="000000"/>
          <w:sz w:val="20"/>
          <w:szCs w:val="20"/>
        </w:rPr>
        <w:t xml:space="preserve">Bodovna vrijednost prema ovom kriteriju izračunava se prema sljedećoj formuli: </w:t>
      </w:r>
    </w:p>
    <w:p w14:paraId="099EDA04" w14:textId="77777777" w:rsidR="00E02494" w:rsidRPr="00E02494" w:rsidRDefault="00E02494" w:rsidP="00E02494">
      <w:pPr>
        <w:autoSpaceDE w:val="0"/>
        <w:autoSpaceDN w:val="0"/>
        <w:adjustRightInd w:val="0"/>
        <w:spacing w:after="0" w:line="240" w:lineRule="auto"/>
        <w:rPr>
          <w:rFonts w:ascii="Titillium" w:eastAsiaTheme="minorHAnsi" w:hAnsi="Titillium" w:cs="Arial"/>
          <w:color w:val="000000"/>
          <w:sz w:val="20"/>
          <w:szCs w:val="20"/>
        </w:rPr>
      </w:pPr>
      <w:r w:rsidRPr="00E02494">
        <w:rPr>
          <w:rFonts w:ascii="Titillium" w:eastAsiaTheme="minorHAnsi" w:hAnsi="Titillium" w:cs="Arial"/>
          <w:color w:val="000000"/>
          <w:sz w:val="20"/>
          <w:szCs w:val="20"/>
        </w:rPr>
        <w:t>Broj bodova = Najniža ponuđena cijena/</w:t>
      </w:r>
      <w:proofErr w:type="spellStart"/>
      <w:r w:rsidRPr="00E02494">
        <w:rPr>
          <w:rFonts w:ascii="Titillium" w:eastAsiaTheme="minorHAnsi" w:hAnsi="Titillium" w:cs="Arial"/>
          <w:color w:val="000000"/>
          <w:sz w:val="20"/>
          <w:szCs w:val="20"/>
        </w:rPr>
        <w:t>cijena</w:t>
      </w:r>
      <w:proofErr w:type="spellEnd"/>
      <w:r w:rsidRPr="00E02494">
        <w:rPr>
          <w:rFonts w:ascii="Titillium" w:eastAsiaTheme="minorHAnsi" w:hAnsi="Titillium" w:cs="Arial"/>
          <w:color w:val="000000"/>
          <w:sz w:val="20"/>
          <w:szCs w:val="20"/>
        </w:rPr>
        <w:t xml:space="preserve"> ponude * 30 </w:t>
      </w:r>
    </w:p>
    <w:p w14:paraId="19FA33D0" w14:textId="77777777" w:rsidR="005C4ED6" w:rsidRPr="005C4ED6" w:rsidRDefault="005C4ED6" w:rsidP="005C4ED6">
      <w:pPr>
        <w:adjustRightInd w:val="0"/>
        <w:spacing w:after="0" w:line="240" w:lineRule="auto"/>
        <w:rPr>
          <w:rFonts w:ascii="Titillium" w:hAnsi="Titillium"/>
          <w:sz w:val="20"/>
          <w:szCs w:val="20"/>
        </w:rPr>
      </w:pPr>
      <w:r w:rsidRPr="005C4ED6">
        <w:rPr>
          <w:rFonts w:ascii="Titillium" w:hAnsi="Titillium"/>
          <w:sz w:val="20"/>
          <w:szCs w:val="20"/>
        </w:rPr>
        <w:t>Bodovna vrijednost prema ovom kriteriju izračunava se prema sljedećoj formuli:</w:t>
      </w:r>
    </w:p>
    <w:p w14:paraId="2EA26AAF" w14:textId="77777777" w:rsidR="005C4ED6" w:rsidRPr="005C4ED6" w:rsidRDefault="005C4ED6" w:rsidP="005C4ED6">
      <w:pPr>
        <w:adjustRightInd w:val="0"/>
        <w:spacing w:after="0" w:line="240" w:lineRule="auto"/>
        <w:rPr>
          <w:rFonts w:ascii="Titillium" w:hAnsi="Titillium"/>
          <w:sz w:val="20"/>
          <w:szCs w:val="20"/>
        </w:rPr>
      </w:pPr>
      <w:r>
        <w:rPr>
          <w:rFonts w:ascii="Titillium" w:hAnsi="Titillium"/>
          <w:sz w:val="20"/>
          <w:szCs w:val="20"/>
        </w:rPr>
        <w:t>C = 3</w:t>
      </w:r>
      <w:r w:rsidRPr="005C4ED6">
        <w:rPr>
          <w:rFonts w:ascii="Titillium" w:hAnsi="Titillium"/>
          <w:sz w:val="20"/>
          <w:szCs w:val="20"/>
        </w:rPr>
        <w:t xml:space="preserve">0 x </w:t>
      </w:r>
      <w:proofErr w:type="spellStart"/>
      <w:r w:rsidRPr="005C4ED6">
        <w:rPr>
          <w:rFonts w:ascii="Titillium" w:hAnsi="Titillium"/>
          <w:sz w:val="20"/>
          <w:szCs w:val="20"/>
        </w:rPr>
        <w:t>Cmin</w:t>
      </w:r>
      <w:proofErr w:type="spellEnd"/>
      <w:r w:rsidRPr="005C4ED6">
        <w:rPr>
          <w:rFonts w:ascii="Titillium" w:hAnsi="Titillium"/>
          <w:sz w:val="20"/>
          <w:szCs w:val="20"/>
        </w:rPr>
        <w:t>/</w:t>
      </w:r>
      <w:proofErr w:type="spellStart"/>
      <w:r w:rsidRPr="005C4ED6">
        <w:rPr>
          <w:rFonts w:ascii="Titillium" w:hAnsi="Titillium"/>
          <w:sz w:val="20"/>
          <w:szCs w:val="20"/>
        </w:rPr>
        <w:t>Ci</w:t>
      </w:r>
      <w:proofErr w:type="spellEnd"/>
    </w:p>
    <w:p w14:paraId="27E3974A" w14:textId="77777777" w:rsidR="005C4ED6" w:rsidRPr="005C4ED6" w:rsidRDefault="005C4ED6" w:rsidP="005C4ED6">
      <w:pPr>
        <w:adjustRightInd w:val="0"/>
        <w:spacing w:after="0" w:line="240" w:lineRule="auto"/>
        <w:rPr>
          <w:rFonts w:ascii="Titillium" w:hAnsi="Titillium"/>
          <w:sz w:val="20"/>
          <w:szCs w:val="20"/>
        </w:rPr>
      </w:pPr>
      <w:r w:rsidRPr="005C4ED6">
        <w:rPr>
          <w:rFonts w:ascii="Titillium" w:hAnsi="Titillium"/>
          <w:sz w:val="20"/>
          <w:szCs w:val="20"/>
        </w:rPr>
        <w:t>gdje je :</w:t>
      </w:r>
    </w:p>
    <w:p w14:paraId="612FB1F2" w14:textId="77777777" w:rsidR="005C4ED6" w:rsidRPr="005C4ED6" w:rsidRDefault="005C4ED6" w:rsidP="005C4ED6">
      <w:pPr>
        <w:adjustRightInd w:val="0"/>
        <w:spacing w:after="0" w:line="240" w:lineRule="auto"/>
        <w:rPr>
          <w:rFonts w:ascii="Titillium" w:hAnsi="Titillium"/>
          <w:sz w:val="20"/>
          <w:szCs w:val="20"/>
        </w:rPr>
      </w:pPr>
      <w:proofErr w:type="spellStart"/>
      <w:r w:rsidRPr="005C4ED6">
        <w:rPr>
          <w:rFonts w:ascii="Titillium" w:hAnsi="Titillium"/>
          <w:sz w:val="20"/>
          <w:szCs w:val="20"/>
        </w:rPr>
        <w:t>Ci</w:t>
      </w:r>
      <w:proofErr w:type="spellEnd"/>
      <w:r w:rsidRPr="005C4ED6">
        <w:rPr>
          <w:rFonts w:ascii="Titillium" w:hAnsi="Titillium"/>
          <w:sz w:val="20"/>
          <w:szCs w:val="20"/>
        </w:rPr>
        <w:t xml:space="preserve"> - cijena iz ponude</w:t>
      </w:r>
    </w:p>
    <w:p w14:paraId="7DCA765D" w14:textId="77777777" w:rsidR="005C4ED6" w:rsidRPr="005C4ED6" w:rsidRDefault="005C4ED6" w:rsidP="005C4ED6">
      <w:pPr>
        <w:adjustRightInd w:val="0"/>
        <w:spacing w:after="0" w:line="240" w:lineRule="auto"/>
        <w:rPr>
          <w:rFonts w:ascii="Titillium" w:hAnsi="Titillium"/>
          <w:sz w:val="20"/>
          <w:szCs w:val="20"/>
        </w:rPr>
      </w:pPr>
      <w:proofErr w:type="spellStart"/>
      <w:r w:rsidRPr="005C4ED6">
        <w:rPr>
          <w:rFonts w:ascii="Titillium" w:hAnsi="Titillium"/>
          <w:sz w:val="20"/>
          <w:szCs w:val="20"/>
        </w:rPr>
        <w:t>Cmin</w:t>
      </w:r>
      <w:proofErr w:type="spellEnd"/>
      <w:r w:rsidRPr="005C4ED6">
        <w:rPr>
          <w:rFonts w:ascii="Titillium" w:hAnsi="Titillium"/>
          <w:sz w:val="20"/>
          <w:szCs w:val="20"/>
        </w:rPr>
        <w:t xml:space="preserve"> - najniža cijena od svih ponuđenih</w:t>
      </w:r>
    </w:p>
    <w:p w14:paraId="383B6501" w14:textId="77777777" w:rsidR="00FB10EF" w:rsidRPr="00FB10EF" w:rsidRDefault="00FB10EF" w:rsidP="00E02494">
      <w:pPr>
        <w:autoSpaceDE w:val="0"/>
        <w:autoSpaceDN w:val="0"/>
        <w:adjustRightInd w:val="0"/>
        <w:spacing w:after="0" w:line="240" w:lineRule="auto"/>
        <w:rPr>
          <w:rFonts w:ascii="Titillium" w:eastAsiaTheme="minorHAnsi" w:hAnsi="Titillium" w:cs="Arial"/>
          <w:b/>
          <w:bCs/>
          <w:color w:val="000000"/>
          <w:sz w:val="20"/>
          <w:szCs w:val="20"/>
        </w:rPr>
      </w:pPr>
    </w:p>
    <w:p w14:paraId="2E1E6ED2" w14:textId="45014FB0" w:rsidR="00E02494" w:rsidRPr="00E02494" w:rsidRDefault="00E02494" w:rsidP="00E02494">
      <w:pPr>
        <w:autoSpaceDE w:val="0"/>
        <w:autoSpaceDN w:val="0"/>
        <w:adjustRightInd w:val="0"/>
        <w:spacing w:after="0" w:line="240" w:lineRule="auto"/>
        <w:rPr>
          <w:rFonts w:ascii="Titillium" w:eastAsiaTheme="minorHAnsi" w:hAnsi="Titillium" w:cs="Arial"/>
          <w:color w:val="000000"/>
          <w:sz w:val="20"/>
          <w:szCs w:val="20"/>
        </w:rPr>
      </w:pPr>
      <w:r w:rsidRPr="00E02494">
        <w:rPr>
          <w:rFonts w:ascii="Titillium" w:eastAsiaTheme="minorHAnsi" w:hAnsi="Titillium" w:cs="Arial"/>
          <w:b/>
          <w:bCs/>
          <w:color w:val="000000"/>
          <w:sz w:val="20"/>
          <w:szCs w:val="20"/>
        </w:rPr>
        <w:t>6.</w:t>
      </w:r>
      <w:r w:rsidR="005255A6">
        <w:rPr>
          <w:rFonts w:ascii="Titillium" w:eastAsiaTheme="minorHAnsi" w:hAnsi="Titillium" w:cs="Arial"/>
          <w:b/>
          <w:bCs/>
          <w:color w:val="000000"/>
          <w:sz w:val="20"/>
          <w:szCs w:val="20"/>
        </w:rPr>
        <w:t>9</w:t>
      </w:r>
      <w:r w:rsidR="00FB10EF" w:rsidRPr="00FB10EF">
        <w:rPr>
          <w:rFonts w:ascii="Titillium" w:eastAsiaTheme="minorHAnsi" w:hAnsi="Titillium" w:cs="Arial"/>
          <w:b/>
          <w:bCs/>
          <w:color w:val="000000"/>
          <w:sz w:val="20"/>
          <w:szCs w:val="20"/>
        </w:rPr>
        <w:t>.</w:t>
      </w:r>
      <w:r w:rsidRPr="00E02494">
        <w:rPr>
          <w:rFonts w:ascii="Titillium" w:eastAsiaTheme="minorHAnsi" w:hAnsi="Titillium" w:cs="Arial"/>
          <w:b/>
          <w:bCs/>
          <w:color w:val="000000"/>
          <w:sz w:val="20"/>
          <w:szCs w:val="20"/>
        </w:rPr>
        <w:t xml:space="preserve">2. Specifično iskustvo ključnih stručnjaka </w:t>
      </w:r>
    </w:p>
    <w:p w14:paraId="608E3DF0" w14:textId="77777777" w:rsidR="00E02494" w:rsidRPr="00E02494" w:rsidRDefault="00E02494" w:rsidP="00E02494">
      <w:pPr>
        <w:autoSpaceDE w:val="0"/>
        <w:autoSpaceDN w:val="0"/>
        <w:adjustRightInd w:val="0"/>
        <w:spacing w:after="0" w:line="240" w:lineRule="auto"/>
        <w:rPr>
          <w:rFonts w:ascii="Titillium" w:eastAsiaTheme="minorHAnsi" w:hAnsi="Titillium" w:cs="Arial"/>
          <w:color w:val="000000"/>
          <w:sz w:val="20"/>
          <w:szCs w:val="20"/>
        </w:rPr>
      </w:pPr>
      <w:r w:rsidRPr="00E02494">
        <w:rPr>
          <w:rFonts w:ascii="Titillium" w:eastAsiaTheme="minorHAnsi" w:hAnsi="Titillium" w:cs="Arial"/>
          <w:color w:val="000000"/>
          <w:sz w:val="20"/>
          <w:szCs w:val="20"/>
        </w:rPr>
        <w:t xml:space="preserve">Naručitelj kao drugi kriterij određuje specifično iskustvo ključnih stručnjaka. </w:t>
      </w:r>
    </w:p>
    <w:p w14:paraId="4BEAFD3F" w14:textId="6BAD3315" w:rsidR="00E02494" w:rsidRPr="00E02494" w:rsidRDefault="00E02494" w:rsidP="00E02494">
      <w:pPr>
        <w:autoSpaceDE w:val="0"/>
        <w:autoSpaceDN w:val="0"/>
        <w:adjustRightInd w:val="0"/>
        <w:spacing w:after="0" w:line="240" w:lineRule="auto"/>
        <w:rPr>
          <w:rFonts w:ascii="Titillium" w:eastAsiaTheme="minorHAnsi" w:hAnsi="Titillium" w:cs="Arial"/>
          <w:color w:val="000000"/>
          <w:sz w:val="20"/>
          <w:szCs w:val="20"/>
        </w:rPr>
      </w:pPr>
      <w:r w:rsidRPr="00E02494">
        <w:rPr>
          <w:rFonts w:ascii="Titillium" w:eastAsiaTheme="minorHAnsi" w:hAnsi="Titillium" w:cs="Arial"/>
          <w:color w:val="000000"/>
          <w:sz w:val="20"/>
          <w:szCs w:val="20"/>
        </w:rPr>
        <w:t>Maksimalni broj bodova koji Ponuditelj mo</w:t>
      </w:r>
      <w:r w:rsidR="00BD121A">
        <w:rPr>
          <w:rFonts w:ascii="Titillium" w:eastAsiaTheme="minorHAnsi" w:hAnsi="Titillium" w:cs="Arial"/>
          <w:color w:val="000000"/>
          <w:sz w:val="20"/>
          <w:szCs w:val="20"/>
        </w:rPr>
        <w:t>že dobiti po ovom kriteriju je 5</w:t>
      </w:r>
      <w:r w:rsidRPr="00E02494">
        <w:rPr>
          <w:rFonts w:ascii="Titillium" w:eastAsiaTheme="minorHAnsi" w:hAnsi="Titillium" w:cs="Arial"/>
          <w:color w:val="000000"/>
          <w:sz w:val="20"/>
          <w:szCs w:val="20"/>
        </w:rPr>
        <w:t xml:space="preserve">0. </w:t>
      </w:r>
    </w:p>
    <w:p w14:paraId="4EC92105" w14:textId="11024AA8" w:rsidR="005D6105" w:rsidRDefault="00E02494" w:rsidP="00E02494">
      <w:pPr>
        <w:pStyle w:val="NoSpacing"/>
        <w:jc w:val="both"/>
        <w:rPr>
          <w:rFonts w:ascii="Titillium" w:eastAsiaTheme="minorHAnsi" w:hAnsi="Titillium" w:cs="Arial"/>
          <w:color w:val="000000"/>
          <w:sz w:val="20"/>
          <w:szCs w:val="20"/>
        </w:rPr>
      </w:pPr>
      <w:r w:rsidRPr="00FB10EF">
        <w:rPr>
          <w:rFonts w:ascii="Titillium" w:eastAsiaTheme="minorHAnsi" w:hAnsi="Titillium" w:cs="Arial"/>
          <w:color w:val="000000"/>
          <w:sz w:val="20"/>
          <w:szCs w:val="20"/>
        </w:rPr>
        <w:t>Naručitelj će svakoj ponudi dodijeliti odgovarajući broj bodova po ovom kriteriju sukladno tablici u nastavku.</w:t>
      </w:r>
    </w:p>
    <w:p w14:paraId="303AD3FE" w14:textId="77777777" w:rsidR="00633D5F" w:rsidRPr="00FB10EF" w:rsidRDefault="00633D5F" w:rsidP="00E02494">
      <w:pPr>
        <w:pStyle w:val="NoSpacing"/>
        <w:jc w:val="both"/>
        <w:rPr>
          <w:rFonts w:ascii="Titillium" w:eastAsiaTheme="minorHAnsi" w:hAnsi="Titillium" w:cs="Arial"/>
          <w:color w:val="000000"/>
          <w:sz w:val="20"/>
          <w:szCs w:val="20"/>
        </w:rPr>
      </w:pPr>
    </w:p>
    <w:tbl>
      <w:tblPr>
        <w:tblStyle w:val="TableGrid"/>
        <w:tblW w:w="0" w:type="auto"/>
        <w:tblLook w:val="04A0" w:firstRow="1" w:lastRow="0" w:firstColumn="1" w:lastColumn="0" w:noHBand="0" w:noVBand="1"/>
      </w:tblPr>
      <w:tblGrid>
        <w:gridCol w:w="675"/>
        <w:gridCol w:w="3156"/>
        <w:gridCol w:w="530"/>
        <w:gridCol w:w="1439"/>
        <w:gridCol w:w="404"/>
        <w:gridCol w:w="1425"/>
        <w:gridCol w:w="1659"/>
      </w:tblGrid>
      <w:tr w:rsidR="001B43C5" w14:paraId="55C0973E" w14:textId="77777777" w:rsidTr="000F33D6">
        <w:tc>
          <w:tcPr>
            <w:tcW w:w="675" w:type="dxa"/>
          </w:tcPr>
          <w:p w14:paraId="39547093" w14:textId="21057829" w:rsidR="00633D5F" w:rsidRPr="000F33D6" w:rsidRDefault="001B43C5" w:rsidP="00E02494">
            <w:pPr>
              <w:pStyle w:val="NoSpacing"/>
              <w:jc w:val="both"/>
              <w:rPr>
                <w:rFonts w:ascii="Titillium" w:hAnsi="Titillium"/>
                <w:b/>
              </w:rPr>
            </w:pPr>
            <w:r w:rsidRPr="000F33D6">
              <w:rPr>
                <w:rFonts w:ascii="Titillium" w:hAnsi="Titillium"/>
                <w:b/>
              </w:rPr>
              <w:t>R.br.</w:t>
            </w:r>
          </w:p>
        </w:tc>
        <w:tc>
          <w:tcPr>
            <w:tcW w:w="3156" w:type="dxa"/>
          </w:tcPr>
          <w:p w14:paraId="776F8EFE" w14:textId="69DF7A7C" w:rsidR="00633D5F" w:rsidRPr="000F33D6" w:rsidRDefault="001B43C5" w:rsidP="00E02494">
            <w:pPr>
              <w:pStyle w:val="NoSpacing"/>
              <w:jc w:val="both"/>
              <w:rPr>
                <w:rFonts w:ascii="Titillium" w:hAnsi="Titillium"/>
                <w:b/>
              </w:rPr>
            </w:pPr>
            <w:r w:rsidRPr="000F33D6">
              <w:rPr>
                <w:rFonts w:ascii="Titillium" w:hAnsi="Titillium"/>
                <w:b/>
              </w:rPr>
              <w:t>Specifično iskustvo ključnih stručnjaka</w:t>
            </w:r>
          </w:p>
        </w:tc>
        <w:tc>
          <w:tcPr>
            <w:tcW w:w="1969" w:type="dxa"/>
            <w:gridSpan w:val="2"/>
          </w:tcPr>
          <w:p w14:paraId="0DCD8D14" w14:textId="3D6ACCBA" w:rsidR="00633D5F" w:rsidRPr="000F33D6" w:rsidRDefault="001B43C5" w:rsidP="00E02494">
            <w:pPr>
              <w:pStyle w:val="NoSpacing"/>
              <w:jc w:val="both"/>
              <w:rPr>
                <w:rFonts w:ascii="Titillium" w:hAnsi="Titillium"/>
                <w:b/>
              </w:rPr>
            </w:pPr>
            <w:r w:rsidRPr="000F33D6">
              <w:rPr>
                <w:rFonts w:ascii="Titillium" w:hAnsi="Titillium"/>
                <w:b/>
              </w:rPr>
              <w:t>Grupa bodova</w:t>
            </w:r>
          </w:p>
        </w:tc>
        <w:tc>
          <w:tcPr>
            <w:tcW w:w="1829" w:type="dxa"/>
            <w:gridSpan w:val="2"/>
          </w:tcPr>
          <w:p w14:paraId="21A9F3D6" w14:textId="453CC1B4" w:rsidR="00633D5F" w:rsidRPr="000F33D6" w:rsidRDefault="001B43C5" w:rsidP="00E02494">
            <w:pPr>
              <w:pStyle w:val="NoSpacing"/>
              <w:jc w:val="both"/>
              <w:rPr>
                <w:rFonts w:ascii="Titillium" w:hAnsi="Titillium"/>
                <w:b/>
              </w:rPr>
            </w:pPr>
            <w:r w:rsidRPr="000F33D6">
              <w:rPr>
                <w:rFonts w:ascii="Titillium" w:hAnsi="Titillium"/>
                <w:b/>
              </w:rPr>
              <w:t>Broj bodova</w:t>
            </w:r>
          </w:p>
        </w:tc>
        <w:tc>
          <w:tcPr>
            <w:tcW w:w="1659" w:type="dxa"/>
          </w:tcPr>
          <w:p w14:paraId="0FFC1BBB" w14:textId="46DFF0D4" w:rsidR="00633D5F" w:rsidRPr="000F33D6" w:rsidRDefault="001B43C5" w:rsidP="00E02494">
            <w:pPr>
              <w:pStyle w:val="NoSpacing"/>
              <w:jc w:val="both"/>
              <w:rPr>
                <w:rFonts w:ascii="Titillium" w:hAnsi="Titillium"/>
                <w:b/>
              </w:rPr>
            </w:pPr>
            <w:r w:rsidRPr="000F33D6">
              <w:rPr>
                <w:rFonts w:ascii="Titillium" w:hAnsi="Titillium"/>
                <w:b/>
              </w:rPr>
              <w:t>Sveukupni broj bodova</w:t>
            </w:r>
          </w:p>
        </w:tc>
      </w:tr>
      <w:tr w:rsidR="00633D5F" w14:paraId="5512F5CC" w14:textId="77777777" w:rsidTr="00633D5F">
        <w:tc>
          <w:tcPr>
            <w:tcW w:w="9288" w:type="dxa"/>
            <w:gridSpan w:val="7"/>
          </w:tcPr>
          <w:p w14:paraId="6C8212AA" w14:textId="5537CDB0" w:rsidR="00633D5F" w:rsidRDefault="000F33D6" w:rsidP="00E02494">
            <w:pPr>
              <w:pStyle w:val="NoSpacing"/>
              <w:jc w:val="both"/>
              <w:rPr>
                <w:rFonts w:ascii="Titillium" w:hAnsi="Titillium"/>
              </w:rPr>
            </w:pPr>
            <w:r>
              <w:rPr>
                <w:rFonts w:ascii="Titillium" w:hAnsi="Titillium"/>
              </w:rPr>
              <w:t>Ključni stručnjak: stručnjak za javnu nabavu</w:t>
            </w:r>
          </w:p>
        </w:tc>
      </w:tr>
      <w:tr w:rsidR="000F33D6" w14:paraId="1877523C" w14:textId="77777777" w:rsidTr="00D80E6C">
        <w:tc>
          <w:tcPr>
            <w:tcW w:w="675" w:type="dxa"/>
          </w:tcPr>
          <w:p w14:paraId="67B48972" w14:textId="26F08D29" w:rsidR="000F33D6" w:rsidRDefault="000F33D6" w:rsidP="00F77A9D">
            <w:pPr>
              <w:pStyle w:val="NoSpacing"/>
              <w:numPr>
                <w:ilvl w:val="0"/>
                <w:numId w:val="27"/>
              </w:numPr>
              <w:jc w:val="both"/>
              <w:rPr>
                <w:rFonts w:ascii="Titillium" w:hAnsi="Titillium"/>
              </w:rPr>
            </w:pPr>
          </w:p>
        </w:tc>
        <w:tc>
          <w:tcPr>
            <w:tcW w:w="3686" w:type="dxa"/>
            <w:gridSpan w:val="2"/>
          </w:tcPr>
          <w:p w14:paraId="1409C125" w14:textId="620E7172" w:rsidR="000F33D6" w:rsidRDefault="000F33D6" w:rsidP="00E02494">
            <w:pPr>
              <w:pStyle w:val="NoSpacing"/>
              <w:jc w:val="both"/>
              <w:rPr>
                <w:rFonts w:ascii="Titillium" w:hAnsi="Titillium"/>
              </w:rPr>
            </w:pPr>
            <w:r>
              <w:rPr>
                <w:rFonts w:ascii="Titillium" w:hAnsi="Titillium"/>
              </w:rPr>
              <w:t>Broj postupaka javne nabave velike vrijednosti sukladno Zakonu o javnoj nabavi ili Direktivi 2004/18/EZ odnosno Direktivi 2004/17/EZ ili Direktivi 2014/24/EZ ili Direktivi 2014/25/EZ u kojima je stručnjak sudjelovao u pripremi i provedbi postupka</w:t>
            </w:r>
          </w:p>
        </w:tc>
        <w:tc>
          <w:tcPr>
            <w:tcW w:w="1843" w:type="dxa"/>
            <w:gridSpan w:val="2"/>
          </w:tcPr>
          <w:p w14:paraId="5E4EBD7F" w14:textId="54A8725D" w:rsidR="000F33D6" w:rsidRDefault="00BD121A" w:rsidP="00E02494">
            <w:pPr>
              <w:pStyle w:val="NoSpacing"/>
              <w:jc w:val="both"/>
              <w:rPr>
                <w:rFonts w:ascii="Titillium" w:hAnsi="Titillium"/>
              </w:rPr>
            </w:pPr>
            <w:r>
              <w:rPr>
                <w:rFonts w:ascii="Titillium" w:hAnsi="Titillium"/>
              </w:rPr>
              <w:t>3</w:t>
            </w:r>
            <w:r w:rsidR="000F33D6">
              <w:rPr>
                <w:rFonts w:ascii="Titillium" w:hAnsi="Titillium"/>
              </w:rPr>
              <w:t xml:space="preserve"> – </w:t>
            </w:r>
            <w:r>
              <w:rPr>
                <w:rFonts w:ascii="Titillium" w:hAnsi="Titillium"/>
              </w:rPr>
              <w:t>5</w:t>
            </w:r>
          </w:p>
          <w:p w14:paraId="78B81472" w14:textId="52B54037" w:rsidR="000F33D6" w:rsidRDefault="00BD121A" w:rsidP="00E02494">
            <w:pPr>
              <w:pStyle w:val="NoSpacing"/>
              <w:jc w:val="both"/>
              <w:rPr>
                <w:rFonts w:ascii="Titillium" w:hAnsi="Titillium"/>
              </w:rPr>
            </w:pPr>
            <w:r>
              <w:rPr>
                <w:rFonts w:ascii="Titillium" w:hAnsi="Titillium"/>
              </w:rPr>
              <w:t>6</w:t>
            </w:r>
            <w:r w:rsidR="000F33D6">
              <w:rPr>
                <w:rFonts w:ascii="Titillium" w:hAnsi="Titillium"/>
              </w:rPr>
              <w:t>-</w:t>
            </w:r>
            <w:r>
              <w:rPr>
                <w:rFonts w:ascii="Titillium" w:hAnsi="Titillium"/>
              </w:rPr>
              <w:t>10</w:t>
            </w:r>
          </w:p>
          <w:p w14:paraId="7CEC7DDC" w14:textId="058E9715" w:rsidR="00D80E6C" w:rsidRDefault="00BD121A" w:rsidP="00E02494">
            <w:pPr>
              <w:pStyle w:val="NoSpacing"/>
              <w:jc w:val="both"/>
              <w:rPr>
                <w:rFonts w:ascii="Titillium" w:hAnsi="Titillium"/>
              </w:rPr>
            </w:pPr>
            <w:r>
              <w:rPr>
                <w:rFonts w:ascii="Titillium" w:hAnsi="Titillium"/>
              </w:rPr>
              <w:t>11-15</w:t>
            </w:r>
          </w:p>
          <w:p w14:paraId="27C957A9" w14:textId="77777777" w:rsidR="00D80E6C" w:rsidRDefault="00BD121A" w:rsidP="00E02494">
            <w:pPr>
              <w:pStyle w:val="NoSpacing"/>
              <w:jc w:val="both"/>
              <w:rPr>
                <w:rFonts w:ascii="Titillium" w:hAnsi="Titillium"/>
              </w:rPr>
            </w:pPr>
            <w:r>
              <w:rPr>
                <w:rFonts w:ascii="Titillium" w:hAnsi="Titillium"/>
              </w:rPr>
              <w:t>16 -20</w:t>
            </w:r>
          </w:p>
          <w:p w14:paraId="55435D0A" w14:textId="7234C4DC" w:rsidR="00BD121A" w:rsidRDefault="00BD121A" w:rsidP="00E02494">
            <w:pPr>
              <w:pStyle w:val="NoSpacing"/>
              <w:jc w:val="both"/>
              <w:rPr>
                <w:rFonts w:ascii="Titillium" w:hAnsi="Titillium"/>
              </w:rPr>
            </w:pPr>
            <w:r>
              <w:rPr>
                <w:rFonts w:ascii="Titillium" w:hAnsi="Titillium"/>
              </w:rPr>
              <w:t>21 i više</w:t>
            </w:r>
          </w:p>
        </w:tc>
        <w:tc>
          <w:tcPr>
            <w:tcW w:w="1425" w:type="dxa"/>
          </w:tcPr>
          <w:p w14:paraId="50577ADC" w14:textId="77777777" w:rsidR="000F33D6" w:rsidRDefault="000F33D6" w:rsidP="00E02494">
            <w:pPr>
              <w:pStyle w:val="NoSpacing"/>
              <w:jc w:val="both"/>
              <w:rPr>
                <w:rFonts w:ascii="Titillium" w:hAnsi="Titillium"/>
              </w:rPr>
            </w:pPr>
            <w:r>
              <w:rPr>
                <w:rFonts w:ascii="Titillium" w:hAnsi="Titillium"/>
              </w:rPr>
              <w:t>10</w:t>
            </w:r>
          </w:p>
          <w:p w14:paraId="0847EB0B" w14:textId="7752CA48" w:rsidR="00D80E6C" w:rsidRDefault="00BD121A" w:rsidP="00E02494">
            <w:pPr>
              <w:pStyle w:val="NoSpacing"/>
              <w:jc w:val="both"/>
              <w:rPr>
                <w:rFonts w:ascii="Titillium" w:hAnsi="Titillium"/>
              </w:rPr>
            </w:pPr>
            <w:r>
              <w:rPr>
                <w:rFonts w:ascii="Titillium" w:hAnsi="Titillium"/>
              </w:rPr>
              <w:t>20</w:t>
            </w:r>
          </w:p>
          <w:p w14:paraId="3F523160" w14:textId="77777777" w:rsidR="00D80E6C" w:rsidRDefault="00D80E6C" w:rsidP="00E02494">
            <w:pPr>
              <w:pStyle w:val="NoSpacing"/>
              <w:jc w:val="both"/>
              <w:rPr>
                <w:rFonts w:ascii="Titillium" w:hAnsi="Titillium"/>
              </w:rPr>
            </w:pPr>
            <w:r>
              <w:rPr>
                <w:rFonts w:ascii="Titillium" w:hAnsi="Titillium"/>
              </w:rPr>
              <w:t>30</w:t>
            </w:r>
          </w:p>
          <w:p w14:paraId="6D711D49" w14:textId="77777777" w:rsidR="00D80E6C" w:rsidRDefault="00D80E6C" w:rsidP="00E02494">
            <w:pPr>
              <w:pStyle w:val="NoSpacing"/>
              <w:jc w:val="both"/>
              <w:rPr>
                <w:rFonts w:ascii="Titillium" w:hAnsi="Titillium"/>
              </w:rPr>
            </w:pPr>
            <w:r>
              <w:rPr>
                <w:rFonts w:ascii="Titillium" w:hAnsi="Titillium"/>
              </w:rPr>
              <w:t>40</w:t>
            </w:r>
          </w:p>
          <w:p w14:paraId="1455361B" w14:textId="277D72FB" w:rsidR="00BD121A" w:rsidRDefault="00BD121A" w:rsidP="00E02494">
            <w:pPr>
              <w:pStyle w:val="NoSpacing"/>
              <w:jc w:val="both"/>
              <w:rPr>
                <w:rFonts w:ascii="Titillium" w:hAnsi="Titillium"/>
              </w:rPr>
            </w:pPr>
            <w:r>
              <w:rPr>
                <w:rFonts w:ascii="Titillium" w:hAnsi="Titillium"/>
              </w:rPr>
              <w:t>50</w:t>
            </w:r>
          </w:p>
        </w:tc>
        <w:tc>
          <w:tcPr>
            <w:tcW w:w="1659" w:type="dxa"/>
          </w:tcPr>
          <w:p w14:paraId="24096BBF" w14:textId="4B60223C" w:rsidR="000F33D6" w:rsidRDefault="00BD121A" w:rsidP="00E02494">
            <w:pPr>
              <w:pStyle w:val="NoSpacing"/>
              <w:jc w:val="both"/>
              <w:rPr>
                <w:rFonts w:ascii="Titillium" w:hAnsi="Titillium"/>
              </w:rPr>
            </w:pPr>
            <w:r>
              <w:rPr>
                <w:rFonts w:ascii="Titillium" w:hAnsi="Titillium"/>
              </w:rPr>
              <w:t>5</w:t>
            </w:r>
            <w:r w:rsidR="00D80E6C">
              <w:rPr>
                <w:rFonts w:ascii="Titillium" w:hAnsi="Titillium"/>
              </w:rPr>
              <w:t>0</w:t>
            </w:r>
          </w:p>
        </w:tc>
      </w:tr>
    </w:tbl>
    <w:p w14:paraId="5F551B64" w14:textId="77777777" w:rsidR="00FB10EF" w:rsidRPr="00FB10EF" w:rsidRDefault="00FB10EF" w:rsidP="00E02494">
      <w:pPr>
        <w:pStyle w:val="NoSpacing"/>
        <w:jc w:val="both"/>
        <w:rPr>
          <w:rFonts w:ascii="Titillium" w:hAnsi="Titillium"/>
          <w:sz w:val="20"/>
          <w:szCs w:val="20"/>
        </w:rPr>
      </w:pPr>
    </w:p>
    <w:p w14:paraId="6BF7668C" w14:textId="217F48DE" w:rsidR="003604D7" w:rsidRPr="003604D7" w:rsidRDefault="005255A6" w:rsidP="003604D7">
      <w:pPr>
        <w:autoSpaceDE w:val="0"/>
        <w:autoSpaceDN w:val="0"/>
        <w:adjustRightInd w:val="0"/>
        <w:spacing w:after="0" w:line="240" w:lineRule="auto"/>
        <w:rPr>
          <w:rFonts w:ascii="Titillium" w:eastAsiaTheme="minorHAnsi" w:hAnsi="Titillium" w:cs="Arial"/>
          <w:b/>
          <w:color w:val="000000"/>
          <w:sz w:val="20"/>
          <w:szCs w:val="20"/>
        </w:rPr>
      </w:pPr>
      <w:r>
        <w:rPr>
          <w:rFonts w:ascii="Titillium" w:eastAsiaTheme="minorHAnsi" w:hAnsi="Titillium" w:cs="Arial"/>
          <w:b/>
          <w:bCs/>
          <w:color w:val="000000"/>
          <w:sz w:val="20"/>
          <w:szCs w:val="20"/>
        </w:rPr>
        <w:t>6.9</w:t>
      </w:r>
      <w:r w:rsidR="003604D7" w:rsidRPr="003604D7">
        <w:rPr>
          <w:rFonts w:ascii="Titillium" w:eastAsiaTheme="minorHAnsi" w:hAnsi="Titillium" w:cs="Arial"/>
          <w:b/>
          <w:bCs/>
          <w:color w:val="000000"/>
          <w:sz w:val="20"/>
          <w:szCs w:val="20"/>
        </w:rPr>
        <w:t xml:space="preserve">.3. Metodologija i pristup provedbi aktivnosti </w:t>
      </w:r>
      <w:r w:rsidR="00135218">
        <w:rPr>
          <w:rFonts w:ascii="Titillium" w:eastAsiaTheme="minorHAnsi" w:hAnsi="Titillium" w:cs="Arial"/>
          <w:b/>
          <w:bCs/>
          <w:color w:val="000000"/>
          <w:sz w:val="20"/>
          <w:szCs w:val="20"/>
        </w:rPr>
        <w:t>i pružanju us</w:t>
      </w:r>
      <w:r w:rsidR="00C24B06">
        <w:rPr>
          <w:rFonts w:ascii="Titillium" w:eastAsiaTheme="minorHAnsi" w:hAnsi="Titillium" w:cs="Arial"/>
          <w:b/>
          <w:bCs/>
          <w:color w:val="000000"/>
          <w:sz w:val="20"/>
          <w:szCs w:val="20"/>
        </w:rPr>
        <w:t>luge</w:t>
      </w:r>
    </w:p>
    <w:p w14:paraId="0D25FE20" w14:textId="306A6E84" w:rsidR="003604D7" w:rsidRPr="003604D7" w:rsidRDefault="008C35BB" w:rsidP="003604D7">
      <w:pPr>
        <w:autoSpaceDE w:val="0"/>
        <w:autoSpaceDN w:val="0"/>
        <w:adjustRightInd w:val="0"/>
        <w:spacing w:after="0" w:line="240" w:lineRule="auto"/>
        <w:rPr>
          <w:rFonts w:ascii="Titillium" w:eastAsiaTheme="minorHAnsi" w:hAnsi="Titillium" w:cs="Arial"/>
          <w:color w:val="000000"/>
          <w:sz w:val="20"/>
          <w:szCs w:val="20"/>
        </w:rPr>
      </w:pPr>
      <w:r>
        <w:rPr>
          <w:rFonts w:ascii="Titillium" w:eastAsiaTheme="minorHAnsi" w:hAnsi="Titillium" w:cs="Arial"/>
          <w:color w:val="000000"/>
          <w:sz w:val="20"/>
          <w:szCs w:val="20"/>
        </w:rPr>
        <w:t xml:space="preserve">Naručitelj kao drugi </w:t>
      </w:r>
      <w:r w:rsidR="003604D7" w:rsidRPr="003604D7">
        <w:rPr>
          <w:rFonts w:ascii="Titillium" w:eastAsiaTheme="minorHAnsi" w:hAnsi="Titillium" w:cs="Arial"/>
          <w:color w:val="000000"/>
          <w:sz w:val="20"/>
          <w:szCs w:val="20"/>
        </w:rPr>
        <w:t xml:space="preserve">kriterij određuje metodologiju i pristup provedbi aktivnosti. </w:t>
      </w:r>
    </w:p>
    <w:p w14:paraId="0592CF72" w14:textId="5FAB0345" w:rsidR="003604D7" w:rsidRPr="003604D7" w:rsidRDefault="003604D7" w:rsidP="003604D7">
      <w:pPr>
        <w:autoSpaceDE w:val="0"/>
        <w:autoSpaceDN w:val="0"/>
        <w:adjustRightInd w:val="0"/>
        <w:spacing w:after="0" w:line="240" w:lineRule="auto"/>
        <w:rPr>
          <w:rFonts w:ascii="Titillium" w:eastAsiaTheme="minorHAnsi" w:hAnsi="Titillium" w:cs="Arial"/>
          <w:color w:val="000000"/>
          <w:sz w:val="20"/>
          <w:szCs w:val="20"/>
        </w:rPr>
      </w:pPr>
      <w:r w:rsidRPr="003604D7">
        <w:rPr>
          <w:rFonts w:ascii="Titillium" w:eastAsiaTheme="minorHAnsi" w:hAnsi="Titillium" w:cs="Arial"/>
          <w:color w:val="000000"/>
          <w:sz w:val="20"/>
          <w:szCs w:val="20"/>
        </w:rPr>
        <w:t>Maksimalni broj bodova koji Ponuditelj mo</w:t>
      </w:r>
      <w:r w:rsidR="00BD121A">
        <w:rPr>
          <w:rFonts w:ascii="Titillium" w:eastAsiaTheme="minorHAnsi" w:hAnsi="Titillium" w:cs="Arial"/>
          <w:color w:val="000000"/>
          <w:sz w:val="20"/>
          <w:szCs w:val="20"/>
        </w:rPr>
        <w:t>že dobiti po ovom kriteriju je 2</w:t>
      </w:r>
      <w:r w:rsidRPr="003604D7">
        <w:rPr>
          <w:rFonts w:ascii="Titillium" w:eastAsiaTheme="minorHAnsi" w:hAnsi="Titillium" w:cs="Arial"/>
          <w:color w:val="000000"/>
          <w:sz w:val="20"/>
          <w:szCs w:val="20"/>
        </w:rPr>
        <w:t xml:space="preserve">0. </w:t>
      </w:r>
    </w:p>
    <w:p w14:paraId="4F33D935" w14:textId="6C2CF645" w:rsidR="00E02494" w:rsidRDefault="003604D7" w:rsidP="003604D7">
      <w:pPr>
        <w:pStyle w:val="NoSpacing"/>
        <w:jc w:val="both"/>
        <w:rPr>
          <w:rFonts w:ascii="Titillium" w:eastAsiaTheme="minorHAnsi" w:hAnsi="Titillium" w:cs="Arial"/>
          <w:color w:val="000000"/>
          <w:sz w:val="20"/>
          <w:szCs w:val="20"/>
        </w:rPr>
      </w:pPr>
      <w:r w:rsidRPr="003604D7">
        <w:rPr>
          <w:rFonts w:ascii="Titillium" w:eastAsiaTheme="minorHAnsi" w:hAnsi="Titillium" w:cs="Arial"/>
          <w:color w:val="000000"/>
          <w:sz w:val="20"/>
          <w:szCs w:val="20"/>
        </w:rPr>
        <w:t>Metodologija i pristup provedbi aktivnosti ocjenjivat će se na pet razina:</w:t>
      </w:r>
    </w:p>
    <w:p w14:paraId="59DEBCAF" w14:textId="77777777" w:rsidR="003604D7" w:rsidRDefault="003604D7" w:rsidP="003604D7">
      <w:pPr>
        <w:pStyle w:val="NoSpacing"/>
        <w:jc w:val="both"/>
        <w:rPr>
          <w:rFonts w:ascii="Titillium" w:eastAsiaTheme="minorHAnsi" w:hAnsi="Titillium" w:cs="Arial"/>
          <w:color w:val="000000"/>
          <w:sz w:val="20"/>
          <w:szCs w:val="20"/>
        </w:rPr>
      </w:pPr>
    </w:p>
    <w:tbl>
      <w:tblPr>
        <w:tblStyle w:val="TableGrid"/>
        <w:tblW w:w="0" w:type="auto"/>
        <w:tblLayout w:type="fixed"/>
        <w:tblLook w:val="04A0" w:firstRow="1" w:lastRow="0" w:firstColumn="1" w:lastColumn="0" w:noHBand="0" w:noVBand="1"/>
      </w:tblPr>
      <w:tblGrid>
        <w:gridCol w:w="1526"/>
        <w:gridCol w:w="3118"/>
        <w:gridCol w:w="2835"/>
        <w:gridCol w:w="1809"/>
      </w:tblGrid>
      <w:tr w:rsidR="007A7825" w14:paraId="7022E436" w14:textId="77777777" w:rsidTr="00C24B06">
        <w:tc>
          <w:tcPr>
            <w:tcW w:w="1526" w:type="dxa"/>
          </w:tcPr>
          <w:p w14:paraId="0599E0A9" w14:textId="77777777" w:rsidR="007A7825" w:rsidRDefault="007A7825" w:rsidP="003604D7">
            <w:pPr>
              <w:pStyle w:val="NoSpacing"/>
              <w:jc w:val="both"/>
              <w:rPr>
                <w:rFonts w:ascii="Titillium" w:hAnsi="Titillium"/>
              </w:rPr>
            </w:pPr>
          </w:p>
          <w:p w14:paraId="7B4C5C61" w14:textId="66C719BF" w:rsidR="007A7825" w:rsidRDefault="00C24B06" w:rsidP="003604D7">
            <w:pPr>
              <w:pStyle w:val="NoSpacing"/>
              <w:jc w:val="both"/>
              <w:rPr>
                <w:rFonts w:ascii="Titillium" w:hAnsi="Titillium"/>
              </w:rPr>
            </w:pPr>
            <w:r>
              <w:rPr>
                <w:rFonts w:ascii="Titillium" w:hAnsi="Titillium"/>
              </w:rPr>
              <w:t>Metodologija i pristup provedbi aktivnosti</w:t>
            </w:r>
          </w:p>
          <w:p w14:paraId="3B80DCCA" w14:textId="77777777" w:rsidR="007A7825" w:rsidRDefault="007A7825" w:rsidP="003604D7">
            <w:pPr>
              <w:pStyle w:val="NoSpacing"/>
              <w:jc w:val="both"/>
              <w:rPr>
                <w:rFonts w:ascii="Titillium" w:hAnsi="Titillium"/>
              </w:rPr>
            </w:pPr>
          </w:p>
          <w:p w14:paraId="59A30C6B" w14:textId="77777777" w:rsidR="007A7825" w:rsidRDefault="007A7825" w:rsidP="003604D7">
            <w:pPr>
              <w:pStyle w:val="NoSpacing"/>
              <w:jc w:val="both"/>
              <w:rPr>
                <w:rFonts w:ascii="Titillium" w:hAnsi="Titillium"/>
              </w:rPr>
            </w:pPr>
          </w:p>
          <w:p w14:paraId="5F20594F" w14:textId="77777777" w:rsidR="007A7825" w:rsidRDefault="007A7825" w:rsidP="003604D7">
            <w:pPr>
              <w:pStyle w:val="NoSpacing"/>
              <w:jc w:val="both"/>
              <w:rPr>
                <w:rFonts w:ascii="Titillium" w:hAnsi="Titillium"/>
              </w:rPr>
            </w:pPr>
          </w:p>
          <w:p w14:paraId="770F0FE0" w14:textId="77777777" w:rsidR="007A7825" w:rsidRDefault="007A7825" w:rsidP="003604D7">
            <w:pPr>
              <w:pStyle w:val="NoSpacing"/>
              <w:jc w:val="both"/>
              <w:rPr>
                <w:rFonts w:ascii="Titillium" w:hAnsi="Titillium"/>
              </w:rPr>
            </w:pPr>
          </w:p>
          <w:p w14:paraId="2A779DFA" w14:textId="77777777" w:rsidR="007A7825" w:rsidRDefault="007A7825" w:rsidP="003604D7">
            <w:pPr>
              <w:pStyle w:val="NoSpacing"/>
              <w:jc w:val="both"/>
              <w:rPr>
                <w:rFonts w:ascii="Titillium" w:hAnsi="Titillium"/>
              </w:rPr>
            </w:pPr>
          </w:p>
        </w:tc>
        <w:tc>
          <w:tcPr>
            <w:tcW w:w="3118" w:type="dxa"/>
          </w:tcPr>
          <w:p w14:paraId="6AFF3183" w14:textId="77777777" w:rsidR="007A7825" w:rsidRDefault="007A7825" w:rsidP="003604D7">
            <w:pPr>
              <w:pStyle w:val="NoSpacing"/>
              <w:jc w:val="both"/>
              <w:rPr>
                <w:rFonts w:ascii="Titillium" w:hAnsi="Titillium"/>
              </w:rPr>
            </w:pPr>
          </w:p>
          <w:p w14:paraId="0C439FC9" w14:textId="01CB2C88" w:rsidR="007A7825" w:rsidRDefault="007A7825" w:rsidP="003604D7">
            <w:pPr>
              <w:pStyle w:val="NoSpacing"/>
              <w:pBdr>
                <w:bottom w:val="single" w:sz="12" w:space="1" w:color="auto"/>
              </w:pBdr>
              <w:jc w:val="both"/>
              <w:rPr>
                <w:rFonts w:ascii="Titillium" w:hAnsi="Titillium"/>
              </w:rPr>
            </w:pPr>
            <w:r>
              <w:rPr>
                <w:rFonts w:ascii="Titillium" w:hAnsi="Titillium"/>
              </w:rPr>
              <w:t>Objašnjenje</w:t>
            </w:r>
          </w:p>
          <w:p w14:paraId="04F7FEDE" w14:textId="77777777" w:rsidR="0091760E" w:rsidRDefault="0091760E" w:rsidP="00AC3A20">
            <w:pPr>
              <w:pStyle w:val="NoSpacing"/>
              <w:jc w:val="both"/>
              <w:rPr>
                <w:rFonts w:ascii="Titillium" w:hAnsi="Titillium"/>
              </w:rPr>
            </w:pPr>
          </w:p>
          <w:p w14:paraId="38F9380E" w14:textId="77777777" w:rsidR="0091760E" w:rsidRDefault="0091760E" w:rsidP="00AC3A20">
            <w:pPr>
              <w:pStyle w:val="NoSpacing"/>
              <w:jc w:val="both"/>
              <w:rPr>
                <w:rFonts w:ascii="Titillium" w:hAnsi="Titillium"/>
              </w:rPr>
            </w:pPr>
          </w:p>
          <w:p w14:paraId="4BE84DC6" w14:textId="77777777" w:rsidR="0091760E" w:rsidRDefault="0091760E" w:rsidP="00AC3A20">
            <w:pPr>
              <w:pStyle w:val="NoSpacing"/>
              <w:jc w:val="both"/>
              <w:rPr>
                <w:rFonts w:ascii="Titillium" w:hAnsi="Titillium"/>
              </w:rPr>
            </w:pPr>
          </w:p>
          <w:p w14:paraId="29FC72DB" w14:textId="77777777" w:rsidR="0091760E" w:rsidRDefault="0091760E" w:rsidP="00AC3A20">
            <w:pPr>
              <w:pStyle w:val="NoSpacing"/>
              <w:jc w:val="both"/>
              <w:rPr>
                <w:rFonts w:ascii="Titillium" w:hAnsi="Titillium"/>
              </w:rPr>
            </w:pPr>
          </w:p>
          <w:p w14:paraId="54CF11CD" w14:textId="77777777" w:rsidR="0091760E" w:rsidRDefault="0091760E" w:rsidP="00AC3A20">
            <w:pPr>
              <w:pStyle w:val="NoSpacing"/>
              <w:jc w:val="both"/>
              <w:rPr>
                <w:rFonts w:ascii="Titillium" w:hAnsi="Titillium"/>
              </w:rPr>
            </w:pPr>
          </w:p>
          <w:p w14:paraId="26EAC1F0" w14:textId="77777777" w:rsidR="0091760E" w:rsidRDefault="0091760E" w:rsidP="00AC3A20">
            <w:pPr>
              <w:pStyle w:val="NoSpacing"/>
              <w:jc w:val="both"/>
              <w:rPr>
                <w:rFonts w:ascii="Titillium" w:hAnsi="Titillium"/>
              </w:rPr>
            </w:pPr>
          </w:p>
          <w:p w14:paraId="171ECD36" w14:textId="77777777" w:rsidR="0091760E" w:rsidRDefault="0091760E" w:rsidP="00AC3A20">
            <w:pPr>
              <w:pStyle w:val="NoSpacing"/>
              <w:jc w:val="both"/>
              <w:rPr>
                <w:rFonts w:ascii="Titillium" w:hAnsi="Titillium"/>
              </w:rPr>
            </w:pPr>
          </w:p>
          <w:p w14:paraId="13B34CDD" w14:textId="77777777" w:rsidR="0091760E" w:rsidRDefault="0091760E" w:rsidP="00AC3A20">
            <w:pPr>
              <w:pStyle w:val="NoSpacing"/>
              <w:jc w:val="both"/>
              <w:rPr>
                <w:rFonts w:ascii="Titillium" w:hAnsi="Titillium"/>
              </w:rPr>
            </w:pPr>
          </w:p>
          <w:p w14:paraId="60986F42" w14:textId="77777777" w:rsidR="0091760E" w:rsidRDefault="0091760E" w:rsidP="00AC3A20">
            <w:pPr>
              <w:pStyle w:val="NoSpacing"/>
              <w:jc w:val="both"/>
              <w:rPr>
                <w:rFonts w:ascii="Titillium" w:hAnsi="Titillium"/>
              </w:rPr>
            </w:pPr>
          </w:p>
          <w:p w14:paraId="52F120ED" w14:textId="77777777" w:rsidR="0091760E" w:rsidRDefault="0091760E" w:rsidP="00AC3A20">
            <w:pPr>
              <w:pStyle w:val="NoSpacing"/>
              <w:jc w:val="both"/>
              <w:rPr>
                <w:rFonts w:ascii="Titillium" w:hAnsi="Titillium"/>
              </w:rPr>
            </w:pPr>
          </w:p>
          <w:p w14:paraId="0788F7CC" w14:textId="77777777" w:rsidR="0091760E" w:rsidRDefault="0091760E" w:rsidP="00AC3A20">
            <w:pPr>
              <w:pStyle w:val="NoSpacing"/>
              <w:jc w:val="both"/>
              <w:rPr>
                <w:rFonts w:ascii="Titillium" w:hAnsi="Titillium"/>
              </w:rPr>
            </w:pPr>
          </w:p>
          <w:p w14:paraId="2C96FC77" w14:textId="77777777" w:rsidR="0091760E" w:rsidRDefault="0091760E" w:rsidP="00AC3A20">
            <w:pPr>
              <w:pStyle w:val="NoSpacing"/>
              <w:jc w:val="both"/>
              <w:rPr>
                <w:rFonts w:ascii="Titillium" w:hAnsi="Titillium"/>
              </w:rPr>
            </w:pPr>
          </w:p>
          <w:p w14:paraId="37603347" w14:textId="77777777" w:rsidR="0091760E" w:rsidRDefault="0091760E" w:rsidP="00AC3A20">
            <w:pPr>
              <w:pStyle w:val="NoSpacing"/>
              <w:jc w:val="both"/>
              <w:rPr>
                <w:rFonts w:ascii="Titillium" w:hAnsi="Titillium"/>
              </w:rPr>
            </w:pPr>
          </w:p>
          <w:p w14:paraId="49F43C36" w14:textId="2926EE5B" w:rsidR="007A7825" w:rsidRDefault="007A7825" w:rsidP="00AC3A20">
            <w:pPr>
              <w:pStyle w:val="NoSpacing"/>
              <w:jc w:val="both"/>
              <w:rPr>
                <w:rFonts w:ascii="Titillium" w:hAnsi="Titillium"/>
              </w:rPr>
            </w:pPr>
            <w:r>
              <w:rPr>
                <w:rFonts w:ascii="Titillium" w:hAnsi="Titillium"/>
              </w:rPr>
              <w:t xml:space="preserve">Ponuditelji </w:t>
            </w:r>
            <w:r w:rsidR="00AC3A20">
              <w:rPr>
                <w:rFonts w:ascii="Titillium" w:hAnsi="Titillium"/>
              </w:rPr>
              <w:t>trebaju priložiti svoj akcijski plan za provedbu aktivnosti iz opisa posla. Metodologija mora biti detaljna i jasna te odražavati iskustvo ponuditelja u pripremi i provedbi postupaka javne nabave prilikom provedbe projekta iste ili slične kompleksnosti. Ukoliko je primjenjivo u poglavlje uključiti i doprinos /relevantnost ostalih članova Zajednice ponuditelja.</w:t>
            </w:r>
          </w:p>
        </w:tc>
        <w:tc>
          <w:tcPr>
            <w:tcW w:w="2835" w:type="dxa"/>
          </w:tcPr>
          <w:p w14:paraId="6A780591" w14:textId="77777777" w:rsidR="007A7825" w:rsidRDefault="007A7825" w:rsidP="003604D7">
            <w:pPr>
              <w:pStyle w:val="NoSpacing"/>
              <w:jc w:val="both"/>
              <w:rPr>
                <w:rFonts w:ascii="Titillium" w:hAnsi="Titillium"/>
              </w:rPr>
            </w:pPr>
          </w:p>
          <w:p w14:paraId="43F63FB9" w14:textId="5CB2EDCC" w:rsidR="00C24B06" w:rsidRDefault="00B423FB" w:rsidP="00B423FB">
            <w:pPr>
              <w:pStyle w:val="NoSpacing"/>
              <w:pBdr>
                <w:bottom w:val="single" w:sz="12" w:space="1" w:color="auto"/>
              </w:pBdr>
              <w:jc w:val="both"/>
              <w:rPr>
                <w:rFonts w:ascii="Titillium" w:hAnsi="Titillium"/>
              </w:rPr>
            </w:pPr>
            <w:r>
              <w:rPr>
                <w:rFonts w:ascii="Titillium" w:hAnsi="Titillium"/>
              </w:rPr>
              <w:t xml:space="preserve">Ocjena </w:t>
            </w:r>
          </w:p>
          <w:p w14:paraId="575999C7" w14:textId="52197A73" w:rsidR="00B423FB" w:rsidRDefault="00B423FB" w:rsidP="00B423FB">
            <w:pPr>
              <w:pStyle w:val="NoSpacing"/>
              <w:jc w:val="both"/>
              <w:rPr>
                <w:rFonts w:ascii="Titillium" w:hAnsi="Titillium"/>
              </w:rPr>
            </w:pPr>
          </w:p>
          <w:p w14:paraId="3DAB9A30" w14:textId="77777777" w:rsidR="00C24B06" w:rsidRDefault="00C24B06" w:rsidP="00AC3A20">
            <w:pPr>
              <w:pStyle w:val="NoSpacing"/>
              <w:jc w:val="both"/>
              <w:rPr>
                <w:rFonts w:ascii="Titillium" w:hAnsi="Titillium"/>
              </w:rPr>
            </w:pPr>
            <w:r w:rsidRPr="00C24B06">
              <w:rPr>
                <w:rFonts w:ascii="Titillium" w:hAnsi="Titillium"/>
                <w:b/>
              </w:rPr>
              <w:t>Slabo</w:t>
            </w:r>
            <w:r>
              <w:rPr>
                <w:rFonts w:ascii="Titillium" w:hAnsi="Titillium"/>
              </w:rPr>
              <w:t xml:space="preserve"> – </w:t>
            </w:r>
            <w:r w:rsidR="00AC3A20">
              <w:rPr>
                <w:rFonts w:ascii="Titillium" w:hAnsi="Titillium"/>
              </w:rPr>
              <w:t>Predložena metodologija je samo djelomično usklađena s Opisom posla. Dan je općenit pristup koji nije do kraja sukladan potrebama Naručitelja u provedbi i pripremi postupaka javne nabave predmetnog projekta.</w:t>
            </w:r>
          </w:p>
          <w:p w14:paraId="350ECBD6" w14:textId="77777777" w:rsidR="00B423FB" w:rsidRDefault="00B423FB" w:rsidP="00AC3A20">
            <w:pPr>
              <w:pStyle w:val="NoSpacing"/>
              <w:pBdr>
                <w:top w:val="single" w:sz="12" w:space="1" w:color="auto"/>
                <w:bottom w:val="single" w:sz="12" w:space="1" w:color="auto"/>
              </w:pBdr>
              <w:jc w:val="both"/>
              <w:rPr>
                <w:rFonts w:ascii="Titillium" w:hAnsi="Titillium"/>
              </w:rPr>
            </w:pPr>
            <w:r w:rsidRPr="00B423FB">
              <w:rPr>
                <w:rFonts w:ascii="Titillium" w:hAnsi="Titillium"/>
                <w:b/>
              </w:rPr>
              <w:t xml:space="preserve">Zadovoljavajuće </w:t>
            </w:r>
            <w:r>
              <w:rPr>
                <w:rFonts w:ascii="Titillium" w:hAnsi="Titillium"/>
              </w:rPr>
              <w:t>– Ponuditelj je predložio metodologiju iz koje se može vidjeti usklađenost s Opisom posla, međutim nije prikazan specifičan pristup Ponuditelja u implementaciji predloženih aktivnosti. Nije vidljiva poveznica između predstavljenih rezultata i načina pripreme i provedbe postupaka javne nabave predmetnog projekta.</w:t>
            </w:r>
          </w:p>
          <w:p w14:paraId="54AB193F" w14:textId="77777777" w:rsidR="00FC2D8B" w:rsidRDefault="00B423FB" w:rsidP="00AC3A20">
            <w:pPr>
              <w:pStyle w:val="NoSpacing"/>
              <w:pBdr>
                <w:bottom w:val="single" w:sz="12" w:space="1" w:color="auto"/>
                <w:between w:val="single" w:sz="12" w:space="1" w:color="auto"/>
              </w:pBdr>
              <w:jc w:val="both"/>
              <w:rPr>
                <w:rFonts w:ascii="Titillium" w:hAnsi="Titillium"/>
              </w:rPr>
            </w:pPr>
            <w:r w:rsidRPr="00FC2D8B">
              <w:rPr>
                <w:rFonts w:ascii="Titillium" w:hAnsi="Titillium"/>
                <w:b/>
              </w:rPr>
              <w:t>Dobro</w:t>
            </w:r>
            <w:r>
              <w:rPr>
                <w:rFonts w:ascii="Titillium" w:hAnsi="Titillium"/>
              </w:rPr>
              <w:t xml:space="preserve"> </w:t>
            </w:r>
            <w:r w:rsidR="00FC2D8B">
              <w:rPr>
                <w:rFonts w:ascii="Titillium" w:hAnsi="Titillium"/>
              </w:rPr>
              <w:t>–</w:t>
            </w:r>
            <w:r>
              <w:rPr>
                <w:rFonts w:ascii="Titillium" w:hAnsi="Titillium"/>
              </w:rPr>
              <w:t xml:space="preserve"> </w:t>
            </w:r>
            <w:r w:rsidR="00FC2D8B">
              <w:rPr>
                <w:rFonts w:ascii="Titillium" w:hAnsi="Titillium"/>
              </w:rPr>
              <w:t>Predložena metodologija je konkretna i jasna. Ponuditelj je predložio specifičan pristup i dodatne zadatke/poslove koji bi trebali rezultirati učinkovitijom pripremom i provedbom postupaka javne nabave predmetnog projekta. Predstavljeni rezultati jasno se mogu povezati s opisanim pristupom. Predstavljena metodologija odražava iskustvo Ponuditelja u upravljanju složenim procesima s većim brojem dionika, dugim periodom u pripremi i provedbi opisanih poslova/usluga i na širokom geografskom području.</w:t>
            </w:r>
          </w:p>
          <w:p w14:paraId="4F2EC895" w14:textId="555CEFCC" w:rsidR="00B423FB" w:rsidRDefault="00FC2D8B" w:rsidP="00AC3A20">
            <w:pPr>
              <w:pStyle w:val="NoSpacing"/>
              <w:jc w:val="both"/>
              <w:rPr>
                <w:rFonts w:ascii="Titillium" w:hAnsi="Titillium"/>
              </w:rPr>
            </w:pPr>
            <w:r>
              <w:rPr>
                <w:rFonts w:ascii="Titillium" w:hAnsi="Titillium"/>
              </w:rPr>
              <w:t xml:space="preserve"> Odlično – Predložena metodologija je konkretna i jasna te donosi dodanu vrijednost. Ponuditelj je predstavio jasno cjelovit pristup koji precizno objašnjava dodatne aktivnosti/poslove koje je potrebno poduzeti, tehnike kojima će se koristiti u </w:t>
            </w:r>
            <w:r w:rsidR="00E636EB">
              <w:rPr>
                <w:rFonts w:ascii="Titillium" w:hAnsi="Titillium"/>
              </w:rPr>
              <w:t xml:space="preserve">pripremi i provedbi postupaka javne nabave, resurse koje će upotrijebiti, rezultate koje će ostvariti, način na koji će uključiti predstavnike Naručitelja i ostale dionike te kako će postojeće iskustvo u upravljanju složenim procesima pripreme i provedbe postupaka javne nabave </w:t>
            </w:r>
            <w:r w:rsidR="0091760E">
              <w:rPr>
                <w:rFonts w:ascii="Titillium" w:hAnsi="Titillium"/>
              </w:rPr>
              <w:t>( s velikim brojem dionika, dugim periodom provedbe na širokom geografskom području) staviti u funkciju povećanja učinkovitosti u procesu savjetovanja Naručitelja. Naručitelj procjenjuje da će predložena metodologija rezultirati maksimalnom kvalitetom isporuka te rezultirati dodatnom vrijednosti za Naručitelja i uključene dionike.</w:t>
            </w:r>
          </w:p>
          <w:p w14:paraId="39B6CCE4" w14:textId="053A9FBD" w:rsidR="00B423FB" w:rsidRDefault="00B423FB" w:rsidP="00AC3A20">
            <w:pPr>
              <w:pStyle w:val="NoSpacing"/>
              <w:jc w:val="both"/>
              <w:rPr>
                <w:rFonts w:ascii="Titillium" w:hAnsi="Titillium"/>
              </w:rPr>
            </w:pPr>
            <w:r>
              <w:rPr>
                <w:rFonts w:ascii="Titillium" w:hAnsi="Titillium"/>
              </w:rPr>
              <w:t xml:space="preserve"> </w:t>
            </w:r>
          </w:p>
        </w:tc>
        <w:tc>
          <w:tcPr>
            <w:tcW w:w="1809" w:type="dxa"/>
          </w:tcPr>
          <w:p w14:paraId="4B6B49B1" w14:textId="77777777" w:rsidR="007A7825" w:rsidRDefault="007A7825" w:rsidP="003604D7">
            <w:pPr>
              <w:pStyle w:val="NoSpacing"/>
              <w:jc w:val="both"/>
              <w:rPr>
                <w:rFonts w:ascii="Titillium" w:hAnsi="Titillium"/>
              </w:rPr>
            </w:pPr>
          </w:p>
          <w:p w14:paraId="6DF6F8EB" w14:textId="52684A93" w:rsidR="007A7825" w:rsidRDefault="007A7825" w:rsidP="003604D7">
            <w:pPr>
              <w:pStyle w:val="NoSpacing"/>
              <w:pBdr>
                <w:bottom w:val="single" w:sz="12" w:space="1" w:color="auto"/>
              </w:pBdr>
              <w:jc w:val="both"/>
              <w:rPr>
                <w:rFonts w:ascii="Titillium" w:hAnsi="Titillium"/>
              </w:rPr>
            </w:pPr>
            <w:r>
              <w:rPr>
                <w:rFonts w:ascii="Titillium" w:hAnsi="Titillium"/>
              </w:rPr>
              <w:t>Bodovi</w:t>
            </w:r>
          </w:p>
          <w:p w14:paraId="51051868" w14:textId="77777777" w:rsidR="007A7825" w:rsidRDefault="007A7825" w:rsidP="003604D7">
            <w:pPr>
              <w:pStyle w:val="NoSpacing"/>
              <w:jc w:val="both"/>
              <w:rPr>
                <w:rFonts w:ascii="Titillium" w:hAnsi="Titillium"/>
              </w:rPr>
            </w:pPr>
          </w:p>
          <w:p w14:paraId="68015447" w14:textId="1D18968D" w:rsidR="00C24B06" w:rsidRDefault="00C24B06" w:rsidP="003604D7">
            <w:pPr>
              <w:pStyle w:val="NoSpacing"/>
              <w:pBdr>
                <w:bottom w:val="single" w:sz="12" w:space="1" w:color="auto"/>
              </w:pBdr>
              <w:jc w:val="both"/>
              <w:rPr>
                <w:rFonts w:ascii="Titillium" w:hAnsi="Titillium"/>
              </w:rPr>
            </w:pPr>
            <w:r>
              <w:rPr>
                <w:rFonts w:ascii="Titillium" w:hAnsi="Titillium"/>
              </w:rPr>
              <w:t>0</w:t>
            </w:r>
          </w:p>
          <w:p w14:paraId="367B6B10" w14:textId="77777777" w:rsidR="00B423FB" w:rsidRDefault="00B423FB" w:rsidP="003604D7">
            <w:pPr>
              <w:pStyle w:val="NoSpacing"/>
              <w:pBdr>
                <w:bottom w:val="single" w:sz="12" w:space="1" w:color="auto"/>
              </w:pBdr>
              <w:jc w:val="both"/>
              <w:rPr>
                <w:rFonts w:ascii="Titillium" w:hAnsi="Titillium"/>
              </w:rPr>
            </w:pPr>
          </w:p>
          <w:p w14:paraId="37C7241F" w14:textId="77777777" w:rsidR="00B423FB" w:rsidRDefault="00B423FB" w:rsidP="003604D7">
            <w:pPr>
              <w:pStyle w:val="NoSpacing"/>
              <w:pBdr>
                <w:bottom w:val="single" w:sz="12" w:space="1" w:color="auto"/>
              </w:pBdr>
              <w:jc w:val="both"/>
              <w:rPr>
                <w:rFonts w:ascii="Titillium" w:hAnsi="Titillium"/>
              </w:rPr>
            </w:pPr>
          </w:p>
          <w:p w14:paraId="6DC194E6" w14:textId="77777777" w:rsidR="00B423FB" w:rsidRDefault="00B423FB" w:rsidP="003604D7">
            <w:pPr>
              <w:pStyle w:val="NoSpacing"/>
              <w:pBdr>
                <w:bottom w:val="single" w:sz="12" w:space="1" w:color="auto"/>
              </w:pBdr>
              <w:jc w:val="both"/>
              <w:rPr>
                <w:rFonts w:ascii="Titillium" w:hAnsi="Titillium"/>
              </w:rPr>
            </w:pPr>
          </w:p>
          <w:p w14:paraId="367A1B04" w14:textId="77777777" w:rsidR="00B423FB" w:rsidRDefault="00B423FB" w:rsidP="003604D7">
            <w:pPr>
              <w:pStyle w:val="NoSpacing"/>
              <w:pBdr>
                <w:bottom w:val="single" w:sz="12" w:space="1" w:color="auto"/>
              </w:pBdr>
              <w:jc w:val="both"/>
              <w:rPr>
                <w:rFonts w:ascii="Titillium" w:hAnsi="Titillium"/>
              </w:rPr>
            </w:pPr>
          </w:p>
          <w:p w14:paraId="056B2BD1" w14:textId="77777777" w:rsidR="00B423FB" w:rsidRDefault="00B423FB" w:rsidP="003604D7">
            <w:pPr>
              <w:pStyle w:val="NoSpacing"/>
              <w:pBdr>
                <w:bottom w:val="single" w:sz="12" w:space="1" w:color="auto"/>
              </w:pBdr>
              <w:jc w:val="both"/>
              <w:rPr>
                <w:rFonts w:ascii="Titillium" w:hAnsi="Titillium"/>
              </w:rPr>
            </w:pPr>
          </w:p>
          <w:p w14:paraId="7B7CAFB6" w14:textId="77777777" w:rsidR="00B423FB" w:rsidRDefault="00B423FB" w:rsidP="003604D7">
            <w:pPr>
              <w:pStyle w:val="NoSpacing"/>
              <w:pBdr>
                <w:bottom w:val="single" w:sz="12" w:space="1" w:color="auto"/>
              </w:pBdr>
              <w:jc w:val="both"/>
              <w:rPr>
                <w:rFonts w:ascii="Titillium" w:hAnsi="Titillium"/>
              </w:rPr>
            </w:pPr>
          </w:p>
          <w:p w14:paraId="796DE18F" w14:textId="77777777" w:rsidR="00B423FB" w:rsidRDefault="00B423FB" w:rsidP="003604D7">
            <w:pPr>
              <w:pStyle w:val="NoSpacing"/>
              <w:pBdr>
                <w:bottom w:val="single" w:sz="12" w:space="1" w:color="auto"/>
              </w:pBdr>
              <w:jc w:val="both"/>
              <w:rPr>
                <w:rFonts w:ascii="Titillium" w:hAnsi="Titillium"/>
              </w:rPr>
            </w:pPr>
          </w:p>
          <w:p w14:paraId="07732250" w14:textId="77777777" w:rsidR="00B423FB" w:rsidRDefault="00B423FB" w:rsidP="003604D7">
            <w:pPr>
              <w:pStyle w:val="NoSpacing"/>
              <w:pBdr>
                <w:bottom w:val="single" w:sz="12" w:space="1" w:color="auto"/>
              </w:pBdr>
              <w:jc w:val="both"/>
              <w:rPr>
                <w:rFonts w:ascii="Titillium" w:hAnsi="Titillium"/>
              </w:rPr>
            </w:pPr>
          </w:p>
          <w:p w14:paraId="60E86CC3" w14:textId="77777777" w:rsidR="0091760E" w:rsidRDefault="0091760E" w:rsidP="003604D7">
            <w:pPr>
              <w:pStyle w:val="NoSpacing"/>
              <w:jc w:val="both"/>
              <w:rPr>
                <w:rFonts w:ascii="Titillium" w:hAnsi="Titillium"/>
              </w:rPr>
            </w:pPr>
          </w:p>
          <w:p w14:paraId="4FA14C5B" w14:textId="77777777" w:rsidR="0091760E" w:rsidRDefault="0091760E" w:rsidP="003604D7">
            <w:pPr>
              <w:pStyle w:val="NoSpacing"/>
              <w:jc w:val="both"/>
              <w:rPr>
                <w:rFonts w:ascii="Titillium" w:hAnsi="Titillium"/>
              </w:rPr>
            </w:pPr>
          </w:p>
          <w:p w14:paraId="79FB1EE3" w14:textId="77777777" w:rsidR="0091760E" w:rsidRDefault="0091760E" w:rsidP="003604D7">
            <w:pPr>
              <w:pStyle w:val="NoSpacing"/>
              <w:jc w:val="both"/>
              <w:rPr>
                <w:rFonts w:ascii="Titillium" w:hAnsi="Titillium"/>
              </w:rPr>
            </w:pPr>
          </w:p>
          <w:p w14:paraId="31DCF6E2" w14:textId="77777777" w:rsidR="0091760E" w:rsidRDefault="0091760E" w:rsidP="003604D7">
            <w:pPr>
              <w:pStyle w:val="NoSpacing"/>
              <w:jc w:val="both"/>
              <w:rPr>
                <w:rFonts w:ascii="Titillium" w:hAnsi="Titillium"/>
              </w:rPr>
            </w:pPr>
          </w:p>
          <w:p w14:paraId="1EED470B" w14:textId="5F76CA01" w:rsidR="00C24B06" w:rsidRDefault="00BD121A" w:rsidP="003604D7">
            <w:pPr>
              <w:pStyle w:val="NoSpacing"/>
              <w:jc w:val="both"/>
              <w:rPr>
                <w:rFonts w:ascii="Titillium" w:hAnsi="Titillium"/>
              </w:rPr>
            </w:pPr>
            <w:r>
              <w:rPr>
                <w:rFonts w:ascii="Titillium" w:hAnsi="Titillium"/>
              </w:rPr>
              <w:t>5</w:t>
            </w:r>
          </w:p>
          <w:p w14:paraId="0FCB223A" w14:textId="77777777" w:rsidR="00B423FB" w:rsidRDefault="00B423FB" w:rsidP="003604D7">
            <w:pPr>
              <w:pStyle w:val="NoSpacing"/>
              <w:jc w:val="both"/>
              <w:rPr>
                <w:rFonts w:ascii="Titillium" w:hAnsi="Titillium"/>
              </w:rPr>
            </w:pPr>
          </w:p>
          <w:p w14:paraId="7EECCB81" w14:textId="77777777" w:rsidR="00B423FB" w:rsidRDefault="00B423FB" w:rsidP="003604D7">
            <w:pPr>
              <w:pStyle w:val="NoSpacing"/>
              <w:jc w:val="both"/>
              <w:rPr>
                <w:rFonts w:ascii="Titillium" w:hAnsi="Titillium"/>
              </w:rPr>
            </w:pPr>
          </w:p>
          <w:p w14:paraId="5D481C28" w14:textId="77777777" w:rsidR="00B423FB" w:rsidRDefault="00B423FB" w:rsidP="003604D7">
            <w:pPr>
              <w:pStyle w:val="NoSpacing"/>
              <w:jc w:val="both"/>
              <w:rPr>
                <w:rFonts w:ascii="Titillium" w:hAnsi="Titillium"/>
              </w:rPr>
            </w:pPr>
          </w:p>
          <w:p w14:paraId="326D13F5" w14:textId="77777777" w:rsidR="00B423FB" w:rsidRDefault="00B423FB" w:rsidP="003604D7">
            <w:pPr>
              <w:pStyle w:val="NoSpacing"/>
              <w:jc w:val="both"/>
              <w:rPr>
                <w:rFonts w:ascii="Titillium" w:hAnsi="Titillium"/>
              </w:rPr>
            </w:pPr>
          </w:p>
          <w:p w14:paraId="1DA36749" w14:textId="77777777" w:rsidR="00B423FB" w:rsidRDefault="00B423FB" w:rsidP="003604D7">
            <w:pPr>
              <w:pStyle w:val="NoSpacing"/>
              <w:jc w:val="both"/>
              <w:rPr>
                <w:rFonts w:ascii="Titillium" w:hAnsi="Titillium"/>
              </w:rPr>
            </w:pPr>
          </w:p>
          <w:p w14:paraId="20BE27B9" w14:textId="77777777" w:rsidR="00B423FB" w:rsidRDefault="00B423FB" w:rsidP="003604D7">
            <w:pPr>
              <w:pStyle w:val="NoSpacing"/>
              <w:jc w:val="both"/>
              <w:rPr>
                <w:rFonts w:ascii="Titillium" w:hAnsi="Titillium"/>
              </w:rPr>
            </w:pPr>
          </w:p>
          <w:p w14:paraId="0627217F" w14:textId="77777777" w:rsidR="00B423FB" w:rsidRDefault="00B423FB" w:rsidP="003604D7">
            <w:pPr>
              <w:pStyle w:val="NoSpacing"/>
              <w:jc w:val="both"/>
              <w:rPr>
                <w:rFonts w:ascii="Titillium" w:hAnsi="Titillium"/>
              </w:rPr>
            </w:pPr>
          </w:p>
          <w:p w14:paraId="263CC5A7" w14:textId="77777777" w:rsidR="00B423FB" w:rsidRDefault="00B423FB" w:rsidP="003604D7">
            <w:pPr>
              <w:pStyle w:val="NoSpacing"/>
              <w:pBdr>
                <w:bottom w:val="single" w:sz="12" w:space="1" w:color="auto"/>
              </w:pBdr>
              <w:jc w:val="both"/>
              <w:rPr>
                <w:rFonts w:ascii="Titillium" w:hAnsi="Titillium"/>
              </w:rPr>
            </w:pPr>
          </w:p>
          <w:p w14:paraId="33AC6168" w14:textId="77777777" w:rsidR="00B423FB" w:rsidRDefault="00B423FB" w:rsidP="003604D7">
            <w:pPr>
              <w:pStyle w:val="NoSpacing"/>
              <w:jc w:val="both"/>
              <w:rPr>
                <w:rFonts w:ascii="Titillium" w:hAnsi="Titillium"/>
              </w:rPr>
            </w:pPr>
          </w:p>
          <w:p w14:paraId="38B63056" w14:textId="77777777" w:rsidR="0091760E" w:rsidRDefault="0091760E" w:rsidP="003604D7">
            <w:pPr>
              <w:pStyle w:val="NoSpacing"/>
              <w:jc w:val="both"/>
              <w:rPr>
                <w:rFonts w:ascii="Titillium" w:hAnsi="Titillium"/>
              </w:rPr>
            </w:pPr>
          </w:p>
          <w:p w14:paraId="40692417" w14:textId="77777777" w:rsidR="0091760E" w:rsidRDefault="0091760E" w:rsidP="003604D7">
            <w:pPr>
              <w:pStyle w:val="NoSpacing"/>
              <w:jc w:val="both"/>
              <w:rPr>
                <w:rFonts w:ascii="Titillium" w:hAnsi="Titillium"/>
              </w:rPr>
            </w:pPr>
          </w:p>
          <w:p w14:paraId="1C9A5FD3" w14:textId="77777777" w:rsidR="0091760E" w:rsidRDefault="0091760E" w:rsidP="003604D7">
            <w:pPr>
              <w:pStyle w:val="NoSpacing"/>
              <w:jc w:val="both"/>
              <w:rPr>
                <w:rFonts w:ascii="Titillium" w:hAnsi="Titillium"/>
              </w:rPr>
            </w:pPr>
          </w:p>
          <w:p w14:paraId="695AD07B" w14:textId="77777777" w:rsidR="0091760E" w:rsidRDefault="0091760E" w:rsidP="003604D7">
            <w:pPr>
              <w:pStyle w:val="NoSpacing"/>
              <w:jc w:val="both"/>
              <w:rPr>
                <w:rFonts w:ascii="Titillium" w:hAnsi="Titillium"/>
              </w:rPr>
            </w:pPr>
          </w:p>
          <w:p w14:paraId="77219610" w14:textId="3E9823FF" w:rsidR="00FC2D8B" w:rsidRDefault="00BD121A" w:rsidP="003604D7">
            <w:pPr>
              <w:pStyle w:val="NoSpacing"/>
              <w:pBdr>
                <w:bottom w:val="single" w:sz="12" w:space="1" w:color="auto"/>
              </w:pBdr>
              <w:jc w:val="both"/>
              <w:rPr>
                <w:rFonts w:ascii="Titillium" w:hAnsi="Titillium"/>
              </w:rPr>
            </w:pPr>
            <w:r>
              <w:rPr>
                <w:rFonts w:ascii="Titillium" w:hAnsi="Titillium"/>
              </w:rPr>
              <w:t>1</w:t>
            </w:r>
            <w:r w:rsidR="00FC2D8B">
              <w:rPr>
                <w:rFonts w:ascii="Titillium" w:hAnsi="Titillium"/>
              </w:rPr>
              <w:t>0</w:t>
            </w:r>
          </w:p>
          <w:p w14:paraId="5DCF6554" w14:textId="77777777" w:rsidR="00FC2D8B" w:rsidRDefault="00FC2D8B" w:rsidP="003604D7">
            <w:pPr>
              <w:pStyle w:val="NoSpacing"/>
              <w:pBdr>
                <w:bottom w:val="single" w:sz="12" w:space="1" w:color="auto"/>
              </w:pBdr>
              <w:jc w:val="both"/>
              <w:rPr>
                <w:rFonts w:ascii="Titillium" w:hAnsi="Titillium"/>
              </w:rPr>
            </w:pPr>
          </w:p>
          <w:p w14:paraId="786F2D91" w14:textId="77777777" w:rsidR="00FC2D8B" w:rsidRDefault="00FC2D8B" w:rsidP="003604D7">
            <w:pPr>
              <w:pStyle w:val="NoSpacing"/>
              <w:pBdr>
                <w:bottom w:val="single" w:sz="12" w:space="1" w:color="auto"/>
              </w:pBdr>
              <w:jc w:val="both"/>
              <w:rPr>
                <w:rFonts w:ascii="Titillium" w:hAnsi="Titillium"/>
              </w:rPr>
            </w:pPr>
          </w:p>
          <w:p w14:paraId="5C33FCA6" w14:textId="77777777" w:rsidR="00FC2D8B" w:rsidRDefault="00FC2D8B" w:rsidP="003604D7">
            <w:pPr>
              <w:pStyle w:val="NoSpacing"/>
              <w:pBdr>
                <w:bottom w:val="single" w:sz="12" w:space="1" w:color="auto"/>
              </w:pBdr>
              <w:jc w:val="both"/>
              <w:rPr>
                <w:rFonts w:ascii="Titillium" w:hAnsi="Titillium"/>
              </w:rPr>
            </w:pPr>
          </w:p>
          <w:p w14:paraId="51705893" w14:textId="77777777" w:rsidR="00FC2D8B" w:rsidRDefault="00FC2D8B" w:rsidP="003604D7">
            <w:pPr>
              <w:pStyle w:val="NoSpacing"/>
              <w:pBdr>
                <w:bottom w:val="single" w:sz="12" w:space="1" w:color="auto"/>
              </w:pBdr>
              <w:jc w:val="both"/>
              <w:rPr>
                <w:rFonts w:ascii="Titillium" w:hAnsi="Titillium"/>
              </w:rPr>
            </w:pPr>
          </w:p>
          <w:p w14:paraId="5E02EB4C" w14:textId="77777777" w:rsidR="00FC2D8B" w:rsidRDefault="00FC2D8B" w:rsidP="003604D7">
            <w:pPr>
              <w:pStyle w:val="NoSpacing"/>
              <w:pBdr>
                <w:bottom w:val="single" w:sz="12" w:space="1" w:color="auto"/>
              </w:pBdr>
              <w:jc w:val="both"/>
              <w:rPr>
                <w:rFonts w:ascii="Titillium" w:hAnsi="Titillium"/>
              </w:rPr>
            </w:pPr>
          </w:p>
          <w:p w14:paraId="3109B207" w14:textId="77777777" w:rsidR="00FC2D8B" w:rsidRDefault="00FC2D8B" w:rsidP="003604D7">
            <w:pPr>
              <w:pStyle w:val="NoSpacing"/>
              <w:pBdr>
                <w:bottom w:val="single" w:sz="12" w:space="1" w:color="auto"/>
              </w:pBdr>
              <w:jc w:val="both"/>
              <w:rPr>
                <w:rFonts w:ascii="Titillium" w:hAnsi="Titillium"/>
              </w:rPr>
            </w:pPr>
          </w:p>
          <w:p w14:paraId="5BFF9434" w14:textId="77777777" w:rsidR="00FC2D8B" w:rsidRDefault="00FC2D8B" w:rsidP="003604D7">
            <w:pPr>
              <w:pStyle w:val="NoSpacing"/>
              <w:pBdr>
                <w:bottom w:val="single" w:sz="12" w:space="1" w:color="auto"/>
              </w:pBdr>
              <w:jc w:val="both"/>
              <w:rPr>
                <w:rFonts w:ascii="Titillium" w:hAnsi="Titillium"/>
              </w:rPr>
            </w:pPr>
          </w:p>
          <w:p w14:paraId="76E56AAD" w14:textId="77777777" w:rsidR="00FC2D8B" w:rsidRDefault="00FC2D8B" w:rsidP="003604D7">
            <w:pPr>
              <w:pStyle w:val="NoSpacing"/>
              <w:pBdr>
                <w:bottom w:val="single" w:sz="12" w:space="1" w:color="auto"/>
              </w:pBdr>
              <w:jc w:val="both"/>
              <w:rPr>
                <w:rFonts w:ascii="Titillium" w:hAnsi="Titillium"/>
              </w:rPr>
            </w:pPr>
          </w:p>
          <w:p w14:paraId="5A3A5C3E" w14:textId="77777777" w:rsidR="00FC2D8B" w:rsidRDefault="00FC2D8B" w:rsidP="003604D7">
            <w:pPr>
              <w:pStyle w:val="NoSpacing"/>
              <w:pBdr>
                <w:bottom w:val="single" w:sz="12" w:space="1" w:color="auto"/>
              </w:pBdr>
              <w:jc w:val="both"/>
              <w:rPr>
                <w:rFonts w:ascii="Titillium" w:hAnsi="Titillium"/>
              </w:rPr>
            </w:pPr>
          </w:p>
          <w:p w14:paraId="0BF197DC" w14:textId="77777777" w:rsidR="00FC2D8B" w:rsidRDefault="00FC2D8B" w:rsidP="003604D7">
            <w:pPr>
              <w:pStyle w:val="NoSpacing"/>
              <w:pBdr>
                <w:bottom w:val="single" w:sz="12" w:space="1" w:color="auto"/>
              </w:pBdr>
              <w:jc w:val="both"/>
              <w:rPr>
                <w:rFonts w:ascii="Titillium" w:hAnsi="Titillium"/>
              </w:rPr>
            </w:pPr>
          </w:p>
          <w:p w14:paraId="4E5B8486" w14:textId="77777777" w:rsidR="00FC2D8B" w:rsidRDefault="00FC2D8B" w:rsidP="003604D7">
            <w:pPr>
              <w:pStyle w:val="NoSpacing"/>
              <w:pBdr>
                <w:bottom w:val="single" w:sz="12" w:space="1" w:color="auto"/>
              </w:pBdr>
              <w:jc w:val="both"/>
              <w:rPr>
                <w:rFonts w:ascii="Titillium" w:hAnsi="Titillium"/>
              </w:rPr>
            </w:pPr>
          </w:p>
          <w:p w14:paraId="27F7EBF6" w14:textId="77777777" w:rsidR="00FC2D8B" w:rsidRDefault="00FC2D8B" w:rsidP="003604D7">
            <w:pPr>
              <w:pStyle w:val="NoSpacing"/>
              <w:pBdr>
                <w:bottom w:val="single" w:sz="12" w:space="1" w:color="auto"/>
              </w:pBdr>
              <w:jc w:val="both"/>
              <w:rPr>
                <w:rFonts w:ascii="Titillium" w:hAnsi="Titillium"/>
              </w:rPr>
            </w:pPr>
          </w:p>
          <w:p w14:paraId="6D2409B1" w14:textId="77777777" w:rsidR="00FC2D8B" w:rsidRDefault="00FC2D8B" w:rsidP="003604D7">
            <w:pPr>
              <w:pStyle w:val="NoSpacing"/>
              <w:pBdr>
                <w:bottom w:val="single" w:sz="12" w:space="1" w:color="auto"/>
              </w:pBdr>
              <w:jc w:val="both"/>
              <w:rPr>
                <w:rFonts w:ascii="Titillium" w:hAnsi="Titillium"/>
              </w:rPr>
            </w:pPr>
          </w:p>
          <w:p w14:paraId="3DB01AE6" w14:textId="77777777" w:rsidR="00FC2D8B" w:rsidRDefault="00FC2D8B" w:rsidP="003604D7">
            <w:pPr>
              <w:pStyle w:val="NoSpacing"/>
              <w:pBdr>
                <w:bottom w:val="single" w:sz="12" w:space="1" w:color="auto"/>
              </w:pBdr>
              <w:jc w:val="both"/>
              <w:rPr>
                <w:rFonts w:ascii="Titillium" w:hAnsi="Titillium"/>
              </w:rPr>
            </w:pPr>
          </w:p>
          <w:p w14:paraId="1EA9ABB1" w14:textId="77777777" w:rsidR="0091760E" w:rsidRDefault="0091760E" w:rsidP="003604D7">
            <w:pPr>
              <w:pStyle w:val="NoSpacing"/>
              <w:jc w:val="both"/>
              <w:rPr>
                <w:rFonts w:ascii="Titillium" w:hAnsi="Titillium"/>
              </w:rPr>
            </w:pPr>
          </w:p>
          <w:p w14:paraId="6E2C64EA" w14:textId="77777777" w:rsidR="0091760E" w:rsidRDefault="0091760E" w:rsidP="003604D7">
            <w:pPr>
              <w:pStyle w:val="NoSpacing"/>
              <w:jc w:val="both"/>
              <w:rPr>
                <w:rFonts w:ascii="Titillium" w:hAnsi="Titillium"/>
              </w:rPr>
            </w:pPr>
          </w:p>
          <w:p w14:paraId="38284704" w14:textId="77777777" w:rsidR="0091760E" w:rsidRDefault="0091760E" w:rsidP="003604D7">
            <w:pPr>
              <w:pStyle w:val="NoSpacing"/>
              <w:jc w:val="both"/>
              <w:rPr>
                <w:rFonts w:ascii="Titillium" w:hAnsi="Titillium"/>
              </w:rPr>
            </w:pPr>
          </w:p>
          <w:p w14:paraId="34DF2889" w14:textId="254525C5" w:rsidR="0091760E" w:rsidRDefault="00BD121A" w:rsidP="003604D7">
            <w:pPr>
              <w:pStyle w:val="NoSpacing"/>
              <w:jc w:val="both"/>
              <w:rPr>
                <w:rFonts w:ascii="Titillium" w:hAnsi="Titillium"/>
              </w:rPr>
            </w:pPr>
            <w:r>
              <w:rPr>
                <w:rFonts w:ascii="Titillium" w:hAnsi="Titillium"/>
              </w:rPr>
              <w:t>2</w:t>
            </w:r>
            <w:r w:rsidR="0091760E">
              <w:rPr>
                <w:rFonts w:ascii="Titillium" w:hAnsi="Titillium"/>
              </w:rPr>
              <w:t>0</w:t>
            </w:r>
          </w:p>
        </w:tc>
      </w:tr>
    </w:tbl>
    <w:p w14:paraId="50F9799A" w14:textId="5307658B" w:rsidR="003604D7" w:rsidRDefault="003604D7" w:rsidP="003604D7">
      <w:pPr>
        <w:pStyle w:val="NoSpacing"/>
        <w:jc w:val="both"/>
        <w:rPr>
          <w:rFonts w:ascii="Titillium" w:hAnsi="Titillium"/>
          <w:sz w:val="20"/>
          <w:szCs w:val="20"/>
        </w:rPr>
      </w:pPr>
    </w:p>
    <w:p w14:paraId="59B6C957" w14:textId="77777777" w:rsidR="001643DB" w:rsidRDefault="001643DB" w:rsidP="003604D7">
      <w:pPr>
        <w:pStyle w:val="NoSpacing"/>
        <w:jc w:val="both"/>
        <w:rPr>
          <w:rFonts w:ascii="Titillium" w:hAnsi="Titillium"/>
          <w:sz w:val="20"/>
          <w:szCs w:val="20"/>
        </w:rPr>
      </w:pPr>
    </w:p>
    <w:p w14:paraId="5456F123" w14:textId="77777777" w:rsidR="001643DB" w:rsidRDefault="001643DB" w:rsidP="003604D7">
      <w:pPr>
        <w:pStyle w:val="NoSpacing"/>
        <w:jc w:val="both"/>
        <w:rPr>
          <w:rFonts w:ascii="Titillium" w:hAnsi="Titillium"/>
          <w:sz w:val="20"/>
          <w:szCs w:val="20"/>
        </w:rPr>
      </w:pPr>
    </w:p>
    <w:p w14:paraId="56A333B3" w14:textId="0C190DD1" w:rsidR="001643DB" w:rsidRPr="005C4ED6" w:rsidRDefault="001643DB" w:rsidP="005C4ED6">
      <w:pPr>
        <w:adjustRightInd w:val="0"/>
        <w:spacing w:after="0" w:line="240" w:lineRule="auto"/>
        <w:rPr>
          <w:rFonts w:ascii="Titillium" w:hAnsi="Titillium"/>
          <w:b/>
          <w:bCs/>
          <w:sz w:val="20"/>
          <w:szCs w:val="20"/>
        </w:rPr>
      </w:pPr>
      <w:r w:rsidRPr="005C4ED6">
        <w:rPr>
          <w:rFonts w:ascii="Titillium" w:hAnsi="Titillium"/>
          <w:b/>
          <w:bCs/>
          <w:sz w:val="20"/>
          <w:szCs w:val="20"/>
        </w:rPr>
        <w:t>a/ Ocjena nefinancijskog dijela ponude (N)</w:t>
      </w:r>
    </w:p>
    <w:p w14:paraId="4E032D59" w14:textId="77777777" w:rsidR="001643DB" w:rsidRPr="005C4ED6"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Bodovna vrijednost prema ovom kriteriju izračunava se prema sljedećoj formuli:</w:t>
      </w:r>
    </w:p>
    <w:p w14:paraId="6AEF8892" w14:textId="16D122BB" w:rsidR="001643DB" w:rsidRPr="005C4ED6"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N= SIS+MPPU</w:t>
      </w:r>
    </w:p>
    <w:p w14:paraId="02572FB2" w14:textId="77777777" w:rsidR="001643DB" w:rsidRPr="005C4ED6"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gdje je :</w:t>
      </w:r>
    </w:p>
    <w:p w14:paraId="65CD6D71" w14:textId="7C9B1F90" w:rsidR="001643DB" w:rsidRPr="00354585"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SIS – dobiveni bodovi ponude prema ocjeni kriterija -</w:t>
      </w:r>
      <w:r w:rsidRPr="00354585">
        <w:rPr>
          <w:rFonts w:ascii="Titillium" w:hAnsi="Titillium"/>
          <w:sz w:val="20"/>
          <w:szCs w:val="20"/>
        </w:rPr>
        <w:t>Specifično iskustvo stručnjaka</w:t>
      </w:r>
    </w:p>
    <w:p w14:paraId="14EC8796" w14:textId="774C39DF" w:rsidR="001643DB" w:rsidRPr="00354585" w:rsidRDefault="001643DB" w:rsidP="005C4ED6">
      <w:pPr>
        <w:adjustRightInd w:val="0"/>
        <w:spacing w:after="0" w:line="240" w:lineRule="auto"/>
        <w:rPr>
          <w:rFonts w:ascii="Titillium" w:hAnsi="Titillium"/>
          <w:sz w:val="20"/>
          <w:szCs w:val="20"/>
        </w:rPr>
      </w:pPr>
      <w:r w:rsidRPr="00354585">
        <w:rPr>
          <w:rFonts w:ascii="Titillium" w:hAnsi="Titillium"/>
          <w:sz w:val="20"/>
          <w:szCs w:val="20"/>
        </w:rPr>
        <w:t>MPPU - dobiveni bodovi ponude prema</w:t>
      </w:r>
      <w:r w:rsidR="005C4ED6" w:rsidRPr="00354585">
        <w:rPr>
          <w:rFonts w:ascii="Titillium" w:hAnsi="Titillium"/>
          <w:sz w:val="20"/>
          <w:szCs w:val="20"/>
        </w:rPr>
        <w:t xml:space="preserve"> ocjeni kriterija -</w:t>
      </w:r>
      <w:r w:rsidRPr="00354585">
        <w:rPr>
          <w:rFonts w:ascii="Titillium" w:hAnsi="Titillium"/>
          <w:sz w:val="20"/>
          <w:szCs w:val="20"/>
        </w:rPr>
        <w:t xml:space="preserve"> </w:t>
      </w:r>
      <w:r w:rsidR="005C4ED6" w:rsidRPr="00354585">
        <w:rPr>
          <w:rFonts w:ascii="Titillium" w:hAnsi="Titillium"/>
          <w:sz w:val="20"/>
          <w:szCs w:val="20"/>
        </w:rPr>
        <w:t>Metodologija i pristup pružanja usluge</w:t>
      </w:r>
    </w:p>
    <w:p w14:paraId="0393D77B" w14:textId="77777777" w:rsidR="001643DB" w:rsidRPr="005C4ED6" w:rsidRDefault="001643DB" w:rsidP="005C4ED6">
      <w:pPr>
        <w:adjustRightInd w:val="0"/>
        <w:spacing w:after="0" w:line="240" w:lineRule="auto"/>
        <w:rPr>
          <w:rFonts w:ascii="Titillium" w:hAnsi="Titillium"/>
          <w:b/>
          <w:bCs/>
          <w:sz w:val="20"/>
          <w:szCs w:val="20"/>
        </w:rPr>
      </w:pPr>
    </w:p>
    <w:p w14:paraId="59BE4ED7" w14:textId="77777777" w:rsidR="001643DB" w:rsidRPr="005C4ED6" w:rsidRDefault="001643DB" w:rsidP="005C4ED6">
      <w:pPr>
        <w:adjustRightInd w:val="0"/>
        <w:spacing w:after="0" w:line="240" w:lineRule="auto"/>
        <w:rPr>
          <w:rFonts w:ascii="Titillium" w:hAnsi="Titillium"/>
          <w:b/>
          <w:bCs/>
          <w:sz w:val="20"/>
          <w:szCs w:val="20"/>
        </w:rPr>
      </w:pPr>
      <w:r w:rsidRPr="005C4ED6">
        <w:rPr>
          <w:rFonts w:ascii="Titillium" w:hAnsi="Titillium"/>
          <w:b/>
          <w:bCs/>
          <w:sz w:val="20"/>
          <w:szCs w:val="20"/>
        </w:rPr>
        <w:t>b/ Ocjena financijskog dijela ponude (C)</w:t>
      </w:r>
    </w:p>
    <w:p w14:paraId="74E3810B" w14:textId="77777777" w:rsidR="001643DB" w:rsidRPr="005C4ED6"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Bodovna vrijednost prema ovom kriteriju izračunava se prema sljedećoj formuli:</w:t>
      </w:r>
    </w:p>
    <w:p w14:paraId="56DA7543" w14:textId="01FAB522" w:rsidR="001643DB" w:rsidRPr="005C4ED6" w:rsidRDefault="005C4ED6" w:rsidP="005C4ED6">
      <w:pPr>
        <w:adjustRightInd w:val="0"/>
        <w:spacing w:after="0" w:line="240" w:lineRule="auto"/>
        <w:rPr>
          <w:rFonts w:ascii="Titillium" w:hAnsi="Titillium"/>
          <w:sz w:val="20"/>
          <w:szCs w:val="20"/>
        </w:rPr>
      </w:pPr>
      <w:r>
        <w:rPr>
          <w:rFonts w:ascii="Titillium" w:hAnsi="Titillium"/>
          <w:sz w:val="20"/>
          <w:szCs w:val="20"/>
        </w:rPr>
        <w:t>C = 3</w:t>
      </w:r>
      <w:r w:rsidR="001643DB" w:rsidRPr="005C4ED6">
        <w:rPr>
          <w:rFonts w:ascii="Titillium" w:hAnsi="Titillium"/>
          <w:sz w:val="20"/>
          <w:szCs w:val="20"/>
        </w:rPr>
        <w:t xml:space="preserve">0 x </w:t>
      </w:r>
      <w:proofErr w:type="spellStart"/>
      <w:r w:rsidR="001643DB" w:rsidRPr="005C4ED6">
        <w:rPr>
          <w:rFonts w:ascii="Titillium" w:hAnsi="Titillium"/>
          <w:sz w:val="20"/>
          <w:szCs w:val="20"/>
        </w:rPr>
        <w:t>Cmin</w:t>
      </w:r>
      <w:proofErr w:type="spellEnd"/>
      <w:r w:rsidR="001643DB" w:rsidRPr="005C4ED6">
        <w:rPr>
          <w:rFonts w:ascii="Titillium" w:hAnsi="Titillium"/>
          <w:sz w:val="20"/>
          <w:szCs w:val="20"/>
        </w:rPr>
        <w:t>/</w:t>
      </w:r>
      <w:proofErr w:type="spellStart"/>
      <w:r w:rsidR="001643DB" w:rsidRPr="005C4ED6">
        <w:rPr>
          <w:rFonts w:ascii="Titillium" w:hAnsi="Titillium"/>
          <w:sz w:val="20"/>
          <w:szCs w:val="20"/>
        </w:rPr>
        <w:t>Ci</w:t>
      </w:r>
      <w:proofErr w:type="spellEnd"/>
    </w:p>
    <w:p w14:paraId="15D16555" w14:textId="77777777" w:rsidR="001643DB" w:rsidRPr="005C4ED6"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gdje je :</w:t>
      </w:r>
    </w:p>
    <w:p w14:paraId="1D292720" w14:textId="77777777" w:rsidR="001643DB" w:rsidRPr="005C4ED6" w:rsidRDefault="001643DB" w:rsidP="005C4ED6">
      <w:pPr>
        <w:adjustRightInd w:val="0"/>
        <w:spacing w:after="0" w:line="240" w:lineRule="auto"/>
        <w:rPr>
          <w:rFonts w:ascii="Titillium" w:hAnsi="Titillium"/>
          <w:sz w:val="20"/>
          <w:szCs w:val="20"/>
        </w:rPr>
      </w:pPr>
      <w:proofErr w:type="spellStart"/>
      <w:r w:rsidRPr="005C4ED6">
        <w:rPr>
          <w:rFonts w:ascii="Titillium" w:hAnsi="Titillium"/>
          <w:sz w:val="20"/>
          <w:szCs w:val="20"/>
        </w:rPr>
        <w:t>Ci</w:t>
      </w:r>
      <w:proofErr w:type="spellEnd"/>
      <w:r w:rsidRPr="005C4ED6">
        <w:rPr>
          <w:rFonts w:ascii="Titillium" w:hAnsi="Titillium"/>
          <w:sz w:val="20"/>
          <w:szCs w:val="20"/>
        </w:rPr>
        <w:t xml:space="preserve"> - cijena iz ponude</w:t>
      </w:r>
    </w:p>
    <w:p w14:paraId="4ECEC7C6" w14:textId="77777777" w:rsidR="001643DB" w:rsidRPr="005C4ED6" w:rsidRDefault="001643DB" w:rsidP="005C4ED6">
      <w:pPr>
        <w:adjustRightInd w:val="0"/>
        <w:spacing w:after="0" w:line="240" w:lineRule="auto"/>
        <w:rPr>
          <w:rFonts w:ascii="Titillium" w:hAnsi="Titillium"/>
          <w:sz w:val="20"/>
          <w:szCs w:val="20"/>
        </w:rPr>
      </w:pPr>
      <w:proofErr w:type="spellStart"/>
      <w:r w:rsidRPr="005C4ED6">
        <w:rPr>
          <w:rFonts w:ascii="Titillium" w:hAnsi="Titillium"/>
          <w:sz w:val="20"/>
          <w:szCs w:val="20"/>
        </w:rPr>
        <w:t>Cmin</w:t>
      </w:r>
      <w:proofErr w:type="spellEnd"/>
      <w:r w:rsidRPr="005C4ED6">
        <w:rPr>
          <w:rFonts w:ascii="Titillium" w:hAnsi="Titillium"/>
          <w:sz w:val="20"/>
          <w:szCs w:val="20"/>
        </w:rPr>
        <w:t xml:space="preserve"> - najniža cijena od svih ponuđenih</w:t>
      </w:r>
    </w:p>
    <w:p w14:paraId="6DD2C5E7" w14:textId="77777777" w:rsidR="001643DB" w:rsidRPr="005C4ED6" w:rsidRDefault="001643DB" w:rsidP="005C4ED6">
      <w:pPr>
        <w:adjustRightInd w:val="0"/>
        <w:spacing w:after="0" w:line="240" w:lineRule="auto"/>
        <w:rPr>
          <w:rFonts w:ascii="Titillium" w:hAnsi="Titillium"/>
          <w:sz w:val="20"/>
          <w:szCs w:val="20"/>
        </w:rPr>
      </w:pPr>
    </w:p>
    <w:p w14:paraId="49FF19FD" w14:textId="51D118EA" w:rsidR="001643DB" w:rsidRPr="005C4ED6" w:rsidRDefault="001643DB" w:rsidP="005C4ED6">
      <w:pPr>
        <w:adjustRightInd w:val="0"/>
        <w:spacing w:after="0" w:line="240" w:lineRule="auto"/>
        <w:rPr>
          <w:rFonts w:ascii="Titillium" w:hAnsi="Titillium"/>
          <w:b/>
          <w:sz w:val="20"/>
          <w:szCs w:val="20"/>
        </w:rPr>
      </w:pPr>
      <w:r w:rsidRPr="005C4ED6">
        <w:rPr>
          <w:rFonts w:ascii="Titillium" w:hAnsi="Titillium"/>
          <w:b/>
          <w:sz w:val="20"/>
          <w:szCs w:val="20"/>
        </w:rPr>
        <w:t>Sveukupna i najpovoljnija ocjena ponuditelja</w:t>
      </w:r>
      <w:r w:rsidR="001E55FF">
        <w:rPr>
          <w:rFonts w:ascii="Titillium" w:hAnsi="Titillium"/>
          <w:b/>
          <w:sz w:val="20"/>
          <w:szCs w:val="20"/>
        </w:rPr>
        <w:t xml:space="preserve"> (E)</w:t>
      </w:r>
    </w:p>
    <w:p w14:paraId="5A94EE7A" w14:textId="5CFF894B" w:rsidR="001643DB" w:rsidRPr="005C4ED6"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Sveukupna ocjena ekonomski najpovoljnije ponude (E</w:t>
      </w:r>
      <w:r w:rsidR="00354585">
        <w:rPr>
          <w:rFonts w:ascii="Titillium" w:hAnsi="Titillium"/>
          <w:sz w:val="20"/>
          <w:szCs w:val="20"/>
        </w:rPr>
        <w:t>) je zbroj N</w:t>
      </w:r>
      <w:r w:rsidRPr="005C4ED6">
        <w:rPr>
          <w:rFonts w:ascii="Titillium" w:hAnsi="Titillium"/>
          <w:sz w:val="20"/>
          <w:szCs w:val="20"/>
        </w:rPr>
        <w:t xml:space="preserve"> - nefinancijske i C -</w:t>
      </w:r>
    </w:p>
    <w:p w14:paraId="1E8DA9EB" w14:textId="77777777" w:rsidR="001643DB" w:rsidRPr="005C4ED6"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financijske ocjene:</w:t>
      </w:r>
    </w:p>
    <w:p w14:paraId="3BBC6FEB" w14:textId="0BEE1C0C" w:rsidR="001643DB" w:rsidRPr="005C4ED6" w:rsidRDefault="00354585" w:rsidP="005C4ED6">
      <w:pPr>
        <w:adjustRightInd w:val="0"/>
        <w:spacing w:after="0" w:line="240" w:lineRule="auto"/>
        <w:rPr>
          <w:rFonts w:ascii="Titillium" w:hAnsi="Titillium"/>
          <w:b/>
          <w:sz w:val="20"/>
          <w:szCs w:val="20"/>
        </w:rPr>
      </w:pPr>
      <w:r>
        <w:rPr>
          <w:rFonts w:ascii="Titillium" w:hAnsi="Titillium"/>
          <w:b/>
          <w:sz w:val="20"/>
          <w:szCs w:val="20"/>
        </w:rPr>
        <w:t>E = N</w:t>
      </w:r>
      <w:r w:rsidR="001643DB" w:rsidRPr="005C4ED6">
        <w:rPr>
          <w:rFonts w:ascii="Titillium" w:hAnsi="Titillium"/>
          <w:b/>
          <w:sz w:val="20"/>
          <w:szCs w:val="20"/>
        </w:rPr>
        <w:t xml:space="preserve"> + C</w:t>
      </w:r>
    </w:p>
    <w:p w14:paraId="471E5227" w14:textId="77777777" w:rsidR="001643DB" w:rsidRPr="005C4ED6" w:rsidRDefault="001643DB" w:rsidP="005C4ED6">
      <w:pPr>
        <w:adjustRightInd w:val="0"/>
        <w:spacing w:after="0" w:line="240" w:lineRule="auto"/>
        <w:rPr>
          <w:rFonts w:ascii="Titillium" w:hAnsi="Titillium"/>
          <w:sz w:val="20"/>
          <w:szCs w:val="20"/>
        </w:rPr>
      </w:pPr>
      <w:r w:rsidRPr="005C4ED6">
        <w:rPr>
          <w:rFonts w:ascii="Titillium" w:hAnsi="Titillium"/>
          <w:sz w:val="20"/>
          <w:szCs w:val="20"/>
        </w:rPr>
        <w:t>Ekonomski najpovoljnija ponuda je ponuda s najvećim zbrojem ocjena iz nefinancijskog i</w:t>
      </w:r>
    </w:p>
    <w:p w14:paraId="71427C74" w14:textId="77777777" w:rsidR="001643DB" w:rsidRPr="00A97C46" w:rsidRDefault="001643DB" w:rsidP="005C4ED6">
      <w:pPr>
        <w:spacing w:after="0" w:line="240" w:lineRule="auto"/>
        <w:rPr>
          <w:rFonts w:ascii="Cambria" w:hAnsi="Cambria"/>
        </w:rPr>
      </w:pPr>
      <w:r w:rsidRPr="005C4ED6">
        <w:rPr>
          <w:rFonts w:ascii="Titillium" w:hAnsi="Titillium"/>
          <w:sz w:val="20"/>
          <w:szCs w:val="20"/>
        </w:rPr>
        <w:t>financijskog dijela</w:t>
      </w:r>
      <w:r w:rsidRPr="00A97C46">
        <w:rPr>
          <w:rFonts w:ascii="Cambria" w:hAnsi="Cambria"/>
        </w:rPr>
        <w:t>.</w:t>
      </w:r>
    </w:p>
    <w:p w14:paraId="266DA016" w14:textId="77777777" w:rsidR="001643DB" w:rsidRPr="003604D7" w:rsidRDefault="001643DB" w:rsidP="003604D7">
      <w:pPr>
        <w:pStyle w:val="NoSpacing"/>
        <w:jc w:val="both"/>
        <w:rPr>
          <w:rFonts w:ascii="Titillium" w:hAnsi="Titillium"/>
          <w:sz w:val="20"/>
          <w:szCs w:val="20"/>
        </w:rPr>
      </w:pPr>
    </w:p>
    <w:p w14:paraId="1A59B6A7" w14:textId="53B864B8" w:rsidR="00B942CA" w:rsidRPr="00794495" w:rsidRDefault="005255A6" w:rsidP="00B942CA">
      <w:pPr>
        <w:pStyle w:val="NoSpacing"/>
        <w:jc w:val="both"/>
        <w:rPr>
          <w:rFonts w:ascii="Titillium" w:hAnsi="Titillium"/>
          <w:sz w:val="20"/>
          <w:szCs w:val="20"/>
        </w:rPr>
      </w:pPr>
      <w:r>
        <w:rPr>
          <w:rFonts w:ascii="Titillium" w:hAnsi="Titillium"/>
          <w:b/>
          <w:sz w:val="20"/>
          <w:szCs w:val="20"/>
        </w:rPr>
        <w:t>6.10</w:t>
      </w:r>
      <w:r w:rsidR="000B034A" w:rsidRPr="000B034A">
        <w:rPr>
          <w:rFonts w:ascii="Titillium" w:hAnsi="Titillium"/>
          <w:b/>
          <w:sz w:val="20"/>
          <w:szCs w:val="20"/>
        </w:rPr>
        <w:t xml:space="preserve">. </w:t>
      </w:r>
      <w:r w:rsidR="000B034A" w:rsidRPr="000B034A">
        <w:rPr>
          <w:rFonts w:ascii="Titillium" w:hAnsi="Titillium"/>
          <w:b/>
          <w:sz w:val="20"/>
          <w:szCs w:val="20"/>
        </w:rPr>
        <w:tab/>
        <w:t>Jezik i pismo na kojemu se izrađuje ponuda</w:t>
      </w:r>
    </w:p>
    <w:p w14:paraId="7EC0F7C3" w14:textId="77777777" w:rsidR="000B034A" w:rsidRPr="000B034A" w:rsidRDefault="000B034A" w:rsidP="000B034A">
      <w:pPr>
        <w:pStyle w:val="NoSpacing"/>
        <w:jc w:val="both"/>
        <w:rPr>
          <w:rFonts w:ascii="Titillium" w:hAnsi="Titillium"/>
          <w:sz w:val="20"/>
          <w:szCs w:val="20"/>
        </w:rPr>
      </w:pPr>
      <w:r w:rsidRPr="000B034A">
        <w:rPr>
          <w:rFonts w:ascii="Titillium" w:hAnsi="Titillium"/>
          <w:sz w:val="20"/>
          <w:szCs w:val="20"/>
        </w:rPr>
        <w:t xml:space="preserve">Ponuditelji se obvezuju svoje ponude, zajedno s pripadajućom dokumentacijom, izraditi na hrvatskom jeziku i latiničnom pismu. Ako su neki od dijelova ponude traženih dokumentacijom o nabavi na nekom od stranih jezika ponuditelj je dužan uz navedeni dokument na stranom jeziku dostaviti i prijevod na hrvatski jezik navedenog dokumenta izvršen po ovlaštenom sudskom tumaču. </w:t>
      </w:r>
    </w:p>
    <w:p w14:paraId="4BEDDE8A" w14:textId="77777777" w:rsidR="000B034A" w:rsidRDefault="000B034A" w:rsidP="000B034A">
      <w:pPr>
        <w:pStyle w:val="NoSpacing"/>
        <w:jc w:val="both"/>
        <w:rPr>
          <w:rFonts w:ascii="Titillium" w:hAnsi="Titillium"/>
          <w:sz w:val="20"/>
          <w:szCs w:val="20"/>
        </w:rPr>
      </w:pPr>
      <w:r w:rsidRPr="000B034A">
        <w:rPr>
          <w:rFonts w:ascii="Titillium" w:hAnsi="Titillium"/>
          <w:sz w:val="20"/>
          <w:szCs w:val="20"/>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14:paraId="7F7F20C8" w14:textId="77777777" w:rsidR="000B034A" w:rsidRDefault="000B034A" w:rsidP="000B034A">
      <w:pPr>
        <w:pStyle w:val="NoSpacing"/>
        <w:jc w:val="both"/>
        <w:rPr>
          <w:rFonts w:ascii="Titillium" w:hAnsi="Titillium"/>
          <w:sz w:val="20"/>
          <w:szCs w:val="20"/>
        </w:rPr>
      </w:pPr>
    </w:p>
    <w:p w14:paraId="4B1991E4" w14:textId="4A28C5C0" w:rsidR="000B034A" w:rsidRPr="000B034A" w:rsidRDefault="005255A6" w:rsidP="000B034A">
      <w:pPr>
        <w:pStyle w:val="NoSpacing"/>
        <w:jc w:val="both"/>
        <w:rPr>
          <w:rFonts w:ascii="Titillium" w:hAnsi="Titillium"/>
          <w:b/>
          <w:sz w:val="20"/>
          <w:szCs w:val="20"/>
        </w:rPr>
      </w:pPr>
      <w:r>
        <w:rPr>
          <w:rFonts w:ascii="Titillium" w:hAnsi="Titillium"/>
          <w:b/>
          <w:sz w:val="20"/>
          <w:szCs w:val="20"/>
        </w:rPr>
        <w:t>6.11</w:t>
      </w:r>
      <w:r w:rsidR="000B034A" w:rsidRPr="000B034A">
        <w:rPr>
          <w:rFonts w:ascii="Titillium" w:hAnsi="Titillium"/>
          <w:b/>
          <w:sz w:val="20"/>
          <w:szCs w:val="20"/>
        </w:rPr>
        <w:t xml:space="preserve">. </w:t>
      </w:r>
      <w:r w:rsidR="000B034A" w:rsidRPr="000B034A">
        <w:rPr>
          <w:rFonts w:ascii="Titillium" w:hAnsi="Titillium"/>
          <w:b/>
          <w:sz w:val="20"/>
          <w:szCs w:val="20"/>
        </w:rPr>
        <w:tab/>
        <w:t>Rok valjanosti ponude</w:t>
      </w:r>
    </w:p>
    <w:p w14:paraId="2EFEADC6" w14:textId="23FEF600" w:rsidR="000B034A" w:rsidRPr="000B034A" w:rsidRDefault="000B034A" w:rsidP="000B034A">
      <w:pPr>
        <w:pStyle w:val="NoSpacing"/>
        <w:jc w:val="both"/>
        <w:rPr>
          <w:rFonts w:ascii="Titillium" w:hAnsi="Titillium"/>
          <w:sz w:val="20"/>
          <w:szCs w:val="20"/>
        </w:rPr>
      </w:pPr>
      <w:r w:rsidRPr="00BC763E">
        <w:rPr>
          <w:rFonts w:ascii="Titillium" w:hAnsi="Titillium"/>
          <w:sz w:val="20"/>
          <w:szCs w:val="20"/>
        </w:rPr>
        <w:t xml:space="preserve">Rok valjanosti </w:t>
      </w:r>
      <w:r w:rsidR="00957BDE" w:rsidRPr="00BC763E">
        <w:rPr>
          <w:rFonts w:ascii="Titillium" w:hAnsi="Titillium"/>
          <w:sz w:val="20"/>
          <w:szCs w:val="20"/>
        </w:rPr>
        <w:t xml:space="preserve">ponude je </w:t>
      </w:r>
      <w:r w:rsidR="00BC763E" w:rsidRPr="00EF6B1D">
        <w:rPr>
          <w:rFonts w:ascii="Titillium" w:hAnsi="Titillium"/>
          <w:b/>
          <w:sz w:val="20"/>
          <w:szCs w:val="20"/>
        </w:rPr>
        <w:t xml:space="preserve">do uključivo </w:t>
      </w:r>
      <w:r w:rsidR="00354585" w:rsidRPr="00D14499">
        <w:rPr>
          <w:rFonts w:ascii="Titillium" w:hAnsi="Titillium"/>
          <w:b/>
          <w:sz w:val="20"/>
          <w:szCs w:val="20"/>
        </w:rPr>
        <w:t>__________</w:t>
      </w:r>
      <w:r w:rsidR="00957BDE" w:rsidRPr="00D14499">
        <w:rPr>
          <w:rFonts w:ascii="Titillium" w:hAnsi="Titillium"/>
          <w:b/>
          <w:sz w:val="20"/>
          <w:szCs w:val="20"/>
        </w:rPr>
        <w:t>2018. godine</w:t>
      </w:r>
      <w:r w:rsidRPr="00D14499">
        <w:rPr>
          <w:rFonts w:ascii="Titillium" w:hAnsi="Titillium"/>
          <w:b/>
          <w:sz w:val="20"/>
          <w:szCs w:val="20"/>
        </w:rPr>
        <w:t>.</w:t>
      </w:r>
      <w:r w:rsidRPr="000B034A">
        <w:rPr>
          <w:rFonts w:ascii="Titillium" w:hAnsi="Titillium"/>
          <w:sz w:val="20"/>
          <w:szCs w:val="20"/>
        </w:rPr>
        <w:t xml:space="preserve"> </w:t>
      </w:r>
    </w:p>
    <w:p w14:paraId="7B5D4584" w14:textId="77777777" w:rsidR="000B034A" w:rsidRPr="000B034A" w:rsidRDefault="000B034A" w:rsidP="000B034A">
      <w:pPr>
        <w:pStyle w:val="NoSpacing"/>
        <w:jc w:val="both"/>
        <w:rPr>
          <w:rFonts w:ascii="Titillium" w:hAnsi="Titillium"/>
          <w:sz w:val="20"/>
          <w:szCs w:val="20"/>
        </w:rPr>
      </w:pPr>
      <w:r w:rsidRPr="000B034A">
        <w:rPr>
          <w:rFonts w:ascii="Titillium" w:hAnsi="Titillium"/>
          <w:sz w:val="20"/>
          <w:szCs w:val="20"/>
        </w:rPr>
        <w:t>Na zahtjev Naručitelja, ponuditelj može produžiti rok valjanosti svoje ponude.</w:t>
      </w:r>
    </w:p>
    <w:p w14:paraId="4440C8D2" w14:textId="77777777" w:rsidR="000B034A" w:rsidRPr="000B034A" w:rsidRDefault="000B034A" w:rsidP="000B034A">
      <w:pPr>
        <w:pStyle w:val="NoSpacing"/>
        <w:jc w:val="both"/>
        <w:rPr>
          <w:rFonts w:ascii="Titillium" w:hAnsi="Titillium"/>
          <w:sz w:val="20"/>
          <w:szCs w:val="20"/>
        </w:rPr>
      </w:pPr>
      <w:r w:rsidRPr="000B034A">
        <w:rPr>
          <w:rFonts w:ascii="Titillium" w:hAnsi="Titillium"/>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5 dana.</w:t>
      </w:r>
    </w:p>
    <w:p w14:paraId="0465017A" w14:textId="77777777" w:rsidR="00B942CA" w:rsidRPr="00072CC8" w:rsidRDefault="000B034A" w:rsidP="000B034A">
      <w:pPr>
        <w:pStyle w:val="NoSpacing"/>
        <w:jc w:val="both"/>
        <w:rPr>
          <w:rFonts w:ascii="Titillium" w:hAnsi="Titillium"/>
          <w:sz w:val="20"/>
          <w:szCs w:val="20"/>
        </w:rPr>
      </w:pPr>
      <w:r w:rsidRPr="000B034A">
        <w:rPr>
          <w:rFonts w:ascii="Titillium" w:hAnsi="Titillium"/>
          <w:sz w:val="20"/>
          <w:szCs w:val="20"/>
        </w:rPr>
        <w:t>Smatra se da ponuda dostavljena elektroničkim sredstvima komunikacije putem EOJN RH obvezuje ponuditelja u roku valjanosti ponude neovisno o tome je li potpisana ili nije te naručitelj ne smije odbiti takvu ponudu samo zbog toga razloga.</w:t>
      </w:r>
    </w:p>
    <w:p w14:paraId="31F648FD" w14:textId="77777777" w:rsidR="00072CC8" w:rsidRDefault="00072CC8" w:rsidP="00072CC8">
      <w:pPr>
        <w:pStyle w:val="NoSpacing"/>
        <w:jc w:val="both"/>
        <w:rPr>
          <w:rFonts w:ascii="Titillium" w:hAnsi="Titillium"/>
          <w:sz w:val="20"/>
          <w:szCs w:val="20"/>
        </w:rPr>
      </w:pPr>
    </w:p>
    <w:p w14:paraId="505AD711" w14:textId="77777777" w:rsidR="000B034A" w:rsidRPr="00072CC8" w:rsidRDefault="000B034A" w:rsidP="00072CC8">
      <w:pPr>
        <w:pStyle w:val="NoSpacing"/>
        <w:jc w:val="both"/>
        <w:rPr>
          <w:rFonts w:ascii="Titillium" w:hAnsi="Titillium"/>
          <w:sz w:val="20"/>
          <w:szCs w:val="20"/>
        </w:rPr>
      </w:pPr>
    </w:p>
    <w:p w14:paraId="47F99A1E" w14:textId="77777777" w:rsidR="00072CC8" w:rsidRPr="000B034A" w:rsidRDefault="000B034A" w:rsidP="000B034A">
      <w:pPr>
        <w:spacing w:line="240" w:lineRule="auto"/>
        <w:ind w:firstLine="708"/>
        <w:rPr>
          <w:rFonts w:ascii="Titillium" w:hAnsi="Titillium"/>
          <w:b/>
        </w:rPr>
      </w:pPr>
      <w:r w:rsidRPr="000B034A">
        <w:rPr>
          <w:rFonts w:ascii="Titillium" w:hAnsi="Titillium"/>
          <w:b/>
        </w:rPr>
        <w:t xml:space="preserve">7. </w:t>
      </w:r>
      <w:r w:rsidRPr="000B034A">
        <w:rPr>
          <w:rFonts w:ascii="Titillium" w:hAnsi="Titillium"/>
          <w:b/>
        </w:rPr>
        <w:tab/>
        <w:t xml:space="preserve"> OSTALE ODREDBE</w:t>
      </w:r>
    </w:p>
    <w:p w14:paraId="4D9A3CCD" w14:textId="77777777" w:rsidR="00C46229" w:rsidRPr="00C46229" w:rsidRDefault="00C46229" w:rsidP="00C46229">
      <w:pPr>
        <w:pStyle w:val="NoSpacing"/>
        <w:rPr>
          <w:rFonts w:ascii="Titillium" w:hAnsi="Titillium"/>
          <w:b/>
          <w:sz w:val="20"/>
          <w:szCs w:val="20"/>
        </w:rPr>
      </w:pPr>
      <w:r w:rsidRPr="00C46229">
        <w:rPr>
          <w:rFonts w:ascii="Titillium" w:hAnsi="Titillium"/>
          <w:b/>
          <w:sz w:val="20"/>
          <w:szCs w:val="20"/>
        </w:rPr>
        <w:t>7.1.</w:t>
      </w:r>
      <w:r w:rsidRPr="00C46229">
        <w:rPr>
          <w:rFonts w:ascii="Titillium" w:hAnsi="Titillium"/>
          <w:sz w:val="20"/>
          <w:szCs w:val="20"/>
        </w:rPr>
        <w:tab/>
      </w:r>
      <w:r w:rsidRPr="00C46229">
        <w:rPr>
          <w:rFonts w:ascii="Titillium" w:hAnsi="Titillium"/>
          <w:b/>
          <w:sz w:val="20"/>
          <w:szCs w:val="20"/>
        </w:rPr>
        <w:t xml:space="preserve">Naznaka o namjeri korištenja opcije odvijanja postupka u više faza koje slijede jedna za drugom,   </w:t>
      </w:r>
    </w:p>
    <w:p w14:paraId="311B5E63" w14:textId="77777777" w:rsidR="00C46229" w:rsidRPr="00C46229" w:rsidRDefault="00C46229" w:rsidP="00C46229">
      <w:pPr>
        <w:pStyle w:val="NoSpacing"/>
        <w:rPr>
          <w:rFonts w:ascii="Titillium" w:hAnsi="Titillium"/>
          <w:b/>
          <w:sz w:val="20"/>
          <w:szCs w:val="20"/>
        </w:rPr>
      </w:pPr>
      <w:r w:rsidRPr="00C46229">
        <w:rPr>
          <w:rFonts w:ascii="Titillium" w:hAnsi="Titillium"/>
          <w:b/>
          <w:sz w:val="20"/>
          <w:szCs w:val="20"/>
        </w:rPr>
        <w:t xml:space="preserve">                kako bi se smanjio broj ponuda ili rješenja</w:t>
      </w:r>
    </w:p>
    <w:p w14:paraId="0200D49C"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74E91393" w14:textId="77777777" w:rsidR="00C46229" w:rsidRPr="00C46229" w:rsidRDefault="00C46229" w:rsidP="00C46229">
      <w:pPr>
        <w:pStyle w:val="NoSpacing"/>
        <w:rPr>
          <w:rFonts w:ascii="Titillium" w:hAnsi="Titillium"/>
          <w:sz w:val="20"/>
          <w:szCs w:val="20"/>
        </w:rPr>
      </w:pPr>
    </w:p>
    <w:p w14:paraId="2CA0E35F" w14:textId="77777777" w:rsidR="00C46229" w:rsidRPr="00C46229" w:rsidRDefault="00C46229" w:rsidP="00C46229">
      <w:pPr>
        <w:pStyle w:val="NoSpacing"/>
        <w:rPr>
          <w:rFonts w:ascii="Titillium" w:hAnsi="Titillium"/>
          <w:sz w:val="20"/>
          <w:szCs w:val="20"/>
        </w:rPr>
      </w:pPr>
      <w:r w:rsidRPr="00C46229">
        <w:rPr>
          <w:rFonts w:ascii="Titillium" w:hAnsi="Titillium"/>
          <w:b/>
          <w:sz w:val="20"/>
          <w:szCs w:val="20"/>
        </w:rPr>
        <w:t>7.2.</w:t>
      </w:r>
      <w:r w:rsidRPr="00C46229">
        <w:rPr>
          <w:rFonts w:ascii="Titillium" w:hAnsi="Titillium"/>
          <w:sz w:val="20"/>
          <w:szCs w:val="20"/>
        </w:rPr>
        <w:tab/>
      </w:r>
      <w:r w:rsidRPr="00C46229">
        <w:rPr>
          <w:rFonts w:ascii="Titillium" w:hAnsi="Titillium"/>
          <w:b/>
          <w:sz w:val="20"/>
          <w:szCs w:val="20"/>
        </w:rPr>
        <w:t>Norme osiguranja kvalitete ili norme upravljanja okolišem</w:t>
      </w:r>
    </w:p>
    <w:p w14:paraId="333F6C62"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232DC046" w14:textId="77777777" w:rsidR="00C46229" w:rsidRPr="00C46229" w:rsidRDefault="00C46229" w:rsidP="00C46229">
      <w:pPr>
        <w:pStyle w:val="NoSpacing"/>
        <w:rPr>
          <w:rFonts w:ascii="Titillium" w:hAnsi="Titillium"/>
          <w:sz w:val="20"/>
          <w:szCs w:val="20"/>
        </w:rPr>
      </w:pPr>
    </w:p>
    <w:p w14:paraId="4C9E51B5" w14:textId="77777777" w:rsidR="00CF6D34" w:rsidRDefault="00C46229" w:rsidP="00C46229">
      <w:pPr>
        <w:pStyle w:val="NoSpacing"/>
        <w:rPr>
          <w:rFonts w:ascii="Titillium" w:hAnsi="Titillium"/>
          <w:b/>
          <w:sz w:val="20"/>
          <w:szCs w:val="20"/>
        </w:rPr>
      </w:pPr>
      <w:r w:rsidRPr="00C46229">
        <w:rPr>
          <w:rFonts w:ascii="Titillium" w:hAnsi="Titillium"/>
          <w:b/>
          <w:sz w:val="20"/>
          <w:szCs w:val="20"/>
        </w:rPr>
        <w:t>7.3.</w:t>
      </w:r>
      <w:r w:rsidRPr="00C46229">
        <w:rPr>
          <w:rFonts w:ascii="Titillium" w:hAnsi="Titillium"/>
          <w:b/>
          <w:sz w:val="20"/>
          <w:szCs w:val="20"/>
        </w:rPr>
        <w:tab/>
        <w:t>Broj gospodarskih subjekata koji će biti stranke okvirnog sporazum</w:t>
      </w:r>
      <w:r>
        <w:rPr>
          <w:rFonts w:ascii="Titillium" w:hAnsi="Titillium"/>
          <w:b/>
          <w:sz w:val="20"/>
          <w:szCs w:val="20"/>
        </w:rPr>
        <w:t>a, u slučaju okvirnog</w:t>
      </w:r>
    </w:p>
    <w:p w14:paraId="2D35FAA6" w14:textId="0FBB54EA" w:rsidR="00C46229" w:rsidRPr="00C46229" w:rsidRDefault="00CF6D34" w:rsidP="00C46229">
      <w:pPr>
        <w:pStyle w:val="NoSpacing"/>
        <w:rPr>
          <w:rFonts w:ascii="Titillium" w:hAnsi="Titillium"/>
          <w:b/>
          <w:sz w:val="20"/>
          <w:szCs w:val="20"/>
        </w:rPr>
      </w:pPr>
      <w:r>
        <w:rPr>
          <w:rFonts w:ascii="Titillium" w:hAnsi="Titillium"/>
          <w:b/>
          <w:sz w:val="20"/>
          <w:szCs w:val="20"/>
        </w:rPr>
        <w:t xml:space="preserve">               </w:t>
      </w:r>
      <w:r w:rsidR="00C46229">
        <w:rPr>
          <w:rFonts w:ascii="Titillium" w:hAnsi="Titillium"/>
          <w:b/>
          <w:sz w:val="20"/>
          <w:szCs w:val="20"/>
        </w:rPr>
        <w:t xml:space="preserve"> sporazuma </w:t>
      </w:r>
      <w:r w:rsidR="00C46229" w:rsidRPr="00C46229">
        <w:rPr>
          <w:rFonts w:ascii="Titillium" w:hAnsi="Titillium"/>
          <w:b/>
          <w:sz w:val="20"/>
          <w:szCs w:val="20"/>
        </w:rPr>
        <w:t>s više gospodarskih subjekata</w:t>
      </w:r>
    </w:p>
    <w:p w14:paraId="0ADD7525"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7868EA7D" w14:textId="6C539DC6" w:rsidR="00D5215A" w:rsidRPr="00C46229" w:rsidRDefault="00D5215A" w:rsidP="00C46229">
      <w:pPr>
        <w:pStyle w:val="NoSpacing"/>
        <w:rPr>
          <w:rFonts w:ascii="Titillium" w:hAnsi="Titillium"/>
          <w:sz w:val="20"/>
          <w:szCs w:val="20"/>
        </w:rPr>
      </w:pPr>
    </w:p>
    <w:p w14:paraId="163570C9" w14:textId="77777777" w:rsidR="00CF6D34" w:rsidRDefault="00C46229" w:rsidP="00C46229">
      <w:pPr>
        <w:pStyle w:val="NoSpacing"/>
        <w:rPr>
          <w:rFonts w:ascii="Titillium" w:hAnsi="Titillium"/>
          <w:b/>
          <w:sz w:val="20"/>
          <w:szCs w:val="20"/>
        </w:rPr>
      </w:pPr>
      <w:r w:rsidRPr="00D5215A">
        <w:rPr>
          <w:rFonts w:ascii="Titillium" w:hAnsi="Titillium"/>
          <w:b/>
          <w:sz w:val="20"/>
          <w:szCs w:val="20"/>
        </w:rPr>
        <w:t>7.4.</w:t>
      </w:r>
      <w:r w:rsidRPr="00D5215A">
        <w:rPr>
          <w:rFonts w:ascii="Titillium" w:hAnsi="Titillium"/>
          <w:b/>
          <w:sz w:val="20"/>
          <w:szCs w:val="20"/>
        </w:rPr>
        <w:tab/>
        <w:t>Rok na koji se sklapa okvirni sporazum te obrazloženje razloga za trajanje okvirnog sporazuma</w:t>
      </w:r>
    </w:p>
    <w:p w14:paraId="3EDA1571" w14:textId="2B71BDE6" w:rsidR="00C46229" w:rsidRPr="00D5215A" w:rsidRDefault="00CF6D34" w:rsidP="00C46229">
      <w:pPr>
        <w:pStyle w:val="NoSpacing"/>
        <w:rPr>
          <w:rFonts w:ascii="Titillium" w:hAnsi="Titillium"/>
          <w:b/>
          <w:sz w:val="20"/>
          <w:szCs w:val="20"/>
        </w:rPr>
      </w:pPr>
      <w:r>
        <w:rPr>
          <w:rFonts w:ascii="Titillium" w:hAnsi="Titillium"/>
          <w:b/>
          <w:sz w:val="20"/>
          <w:szCs w:val="20"/>
        </w:rPr>
        <w:t xml:space="preserve">               </w:t>
      </w:r>
      <w:r w:rsidR="00C46229" w:rsidRPr="00D5215A">
        <w:rPr>
          <w:rFonts w:ascii="Titillium" w:hAnsi="Titillium"/>
          <w:b/>
          <w:sz w:val="20"/>
          <w:szCs w:val="20"/>
        </w:rPr>
        <w:t xml:space="preserve"> duže</w:t>
      </w:r>
      <w:r>
        <w:rPr>
          <w:rFonts w:ascii="Titillium" w:hAnsi="Titillium"/>
          <w:b/>
          <w:sz w:val="20"/>
          <w:szCs w:val="20"/>
        </w:rPr>
        <w:t xml:space="preserve"> </w:t>
      </w:r>
      <w:r w:rsidR="00C46229" w:rsidRPr="00D5215A">
        <w:rPr>
          <w:rFonts w:ascii="Titillium" w:hAnsi="Titillium"/>
          <w:b/>
          <w:sz w:val="20"/>
          <w:szCs w:val="20"/>
        </w:rPr>
        <w:t>od četiri, odnosno osam godina</w:t>
      </w:r>
    </w:p>
    <w:p w14:paraId="4F7556B5"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638C429B" w14:textId="77777777" w:rsidR="00C46229" w:rsidRPr="00C46229" w:rsidRDefault="00C46229" w:rsidP="00C46229">
      <w:pPr>
        <w:pStyle w:val="NoSpacing"/>
        <w:rPr>
          <w:rFonts w:ascii="Titillium" w:hAnsi="Titillium"/>
          <w:sz w:val="20"/>
          <w:szCs w:val="20"/>
        </w:rPr>
      </w:pPr>
    </w:p>
    <w:p w14:paraId="16E420E2" w14:textId="77777777" w:rsidR="00C46229" w:rsidRPr="00C46229" w:rsidRDefault="00C46229" w:rsidP="00C46229">
      <w:pPr>
        <w:pStyle w:val="NoSpacing"/>
        <w:rPr>
          <w:rFonts w:ascii="Titillium" w:hAnsi="Titillium"/>
          <w:b/>
          <w:sz w:val="20"/>
          <w:szCs w:val="20"/>
        </w:rPr>
      </w:pPr>
      <w:r w:rsidRPr="00C46229">
        <w:rPr>
          <w:rFonts w:ascii="Titillium" w:hAnsi="Titillium"/>
          <w:b/>
          <w:sz w:val="20"/>
          <w:szCs w:val="20"/>
        </w:rPr>
        <w:t>7.5.</w:t>
      </w:r>
      <w:r w:rsidRPr="00C46229">
        <w:rPr>
          <w:rFonts w:ascii="Titillium" w:hAnsi="Titillium"/>
          <w:b/>
          <w:sz w:val="20"/>
          <w:szCs w:val="20"/>
        </w:rPr>
        <w:tab/>
        <w:t>Način sklapanja ugovora na temelju okvirnog sporazuma</w:t>
      </w:r>
    </w:p>
    <w:p w14:paraId="48CE3925"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2A731F61" w14:textId="77777777" w:rsidR="00C46229" w:rsidRPr="00C46229" w:rsidRDefault="00C46229" w:rsidP="00C46229">
      <w:pPr>
        <w:pStyle w:val="NoSpacing"/>
        <w:rPr>
          <w:rFonts w:ascii="Titillium" w:hAnsi="Titillium"/>
          <w:sz w:val="20"/>
          <w:szCs w:val="20"/>
        </w:rPr>
      </w:pPr>
    </w:p>
    <w:p w14:paraId="1D878509" w14:textId="77777777" w:rsidR="00C46229" w:rsidRPr="00C46229" w:rsidRDefault="00C46229" w:rsidP="00C46229">
      <w:pPr>
        <w:pStyle w:val="NoSpacing"/>
        <w:rPr>
          <w:rFonts w:ascii="Titillium" w:hAnsi="Titillium"/>
          <w:b/>
          <w:sz w:val="20"/>
          <w:szCs w:val="20"/>
        </w:rPr>
      </w:pPr>
      <w:r w:rsidRPr="00C46229">
        <w:rPr>
          <w:rFonts w:ascii="Titillium" w:hAnsi="Titillium"/>
          <w:b/>
          <w:sz w:val="20"/>
          <w:szCs w:val="20"/>
        </w:rPr>
        <w:t>7.6.</w:t>
      </w:r>
      <w:r w:rsidRPr="00C46229">
        <w:rPr>
          <w:rFonts w:ascii="Titillium" w:hAnsi="Titillium"/>
          <w:b/>
          <w:sz w:val="20"/>
          <w:szCs w:val="20"/>
        </w:rPr>
        <w:tab/>
        <w:t>Navod obvezuje li okvirni sporazum stranke na izvršenje okvirnog sporazuma</w:t>
      </w:r>
    </w:p>
    <w:p w14:paraId="730777F8"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00924CCC" w14:textId="77777777" w:rsidR="00C46229" w:rsidRPr="00C46229" w:rsidRDefault="00C46229" w:rsidP="00C46229">
      <w:pPr>
        <w:pStyle w:val="NoSpacing"/>
        <w:rPr>
          <w:rFonts w:ascii="Titillium" w:hAnsi="Titillium"/>
          <w:sz w:val="20"/>
          <w:szCs w:val="20"/>
        </w:rPr>
      </w:pPr>
    </w:p>
    <w:p w14:paraId="0798F093" w14:textId="77777777" w:rsidR="00D5215A" w:rsidRPr="00D5215A" w:rsidRDefault="00C46229" w:rsidP="00C46229">
      <w:pPr>
        <w:pStyle w:val="NoSpacing"/>
        <w:rPr>
          <w:rFonts w:ascii="Titillium" w:hAnsi="Titillium"/>
          <w:b/>
          <w:sz w:val="20"/>
          <w:szCs w:val="20"/>
        </w:rPr>
      </w:pPr>
      <w:r w:rsidRPr="00D5215A">
        <w:rPr>
          <w:rFonts w:ascii="Titillium" w:hAnsi="Titillium"/>
          <w:b/>
          <w:sz w:val="20"/>
          <w:szCs w:val="20"/>
        </w:rPr>
        <w:t>7.7.</w:t>
      </w:r>
      <w:r w:rsidRPr="00D5215A">
        <w:rPr>
          <w:rFonts w:ascii="Titillium" w:hAnsi="Titillium"/>
          <w:b/>
          <w:sz w:val="20"/>
          <w:szCs w:val="20"/>
        </w:rPr>
        <w:tab/>
        <w:t>Naznaka svih naručitelja (poimence ili generički po vrsti/kategorijama/mjestu) u čije ime se sklapa</w:t>
      </w:r>
    </w:p>
    <w:p w14:paraId="1151EF4E" w14:textId="77777777" w:rsidR="00C46229" w:rsidRPr="00D5215A" w:rsidRDefault="00D5215A" w:rsidP="00C46229">
      <w:pPr>
        <w:pStyle w:val="NoSpacing"/>
        <w:rPr>
          <w:rFonts w:ascii="Titillium" w:hAnsi="Titillium"/>
          <w:b/>
          <w:sz w:val="20"/>
          <w:szCs w:val="20"/>
        </w:rPr>
      </w:pPr>
      <w:r w:rsidRPr="00D5215A">
        <w:rPr>
          <w:rFonts w:ascii="Titillium" w:hAnsi="Titillium"/>
          <w:b/>
          <w:sz w:val="20"/>
          <w:szCs w:val="20"/>
        </w:rPr>
        <w:t xml:space="preserve">               </w:t>
      </w:r>
      <w:r w:rsidR="00C46229" w:rsidRPr="00D5215A">
        <w:rPr>
          <w:rFonts w:ascii="Titillium" w:hAnsi="Titillium"/>
          <w:b/>
          <w:sz w:val="20"/>
          <w:szCs w:val="20"/>
        </w:rPr>
        <w:t xml:space="preserve"> okvirni sporazum</w:t>
      </w:r>
    </w:p>
    <w:p w14:paraId="0F562F49"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7860B83A" w14:textId="77777777" w:rsidR="00C46229" w:rsidRPr="00C46229" w:rsidRDefault="00C46229" w:rsidP="00C46229">
      <w:pPr>
        <w:pStyle w:val="NoSpacing"/>
        <w:rPr>
          <w:rFonts w:ascii="Titillium" w:hAnsi="Titillium"/>
          <w:sz w:val="20"/>
          <w:szCs w:val="20"/>
        </w:rPr>
      </w:pPr>
    </w:p>
    <w:p w14:paraId="3188942D" w14:textId="77777777" w:rsidR="00C46229" w:rsidRPr="00C46229" w:rsidRDefault="00C46229" w:rsidP="00C46229">
      <w:pPr>
        <w:pStyle w:val="NoSpacing"/>
        <w:rPr>
          <w:rFonts w:ascii="Titillium" w:hAnsi="Titillium"/>
          <w:b/>
          <w:sz w:val="20"/>
          <w:szCs w:val="20"/>
        </w:rPr>
      </w:pPr>
      <w:r w:rsidRPr="00C46229">
        <w:rPr>
          <w:rFonts w:ascii="Titillium" w:hAnsi="Titillium"/>
          <w:b/>
          <w:sz w:val="20"/>
          <w:szCs w:val="20"/>
        </w:rPr>
        <w:t>7.8.</w:t>
      </w:r>
      <w:r w:rsidRPr="00C46229">
        <w:rPr>
          <w:rFonts w:ascii="Titillium" w:hAnsi="Titillium"/>
          <w:b/>
          <w:sz w:val="20"/>
          <w:szCs w:val="20"/>
        </w:rPr>
        <w:tab/>
        <w:t>Drugi uvjeti koji će biti korišteni prilikom sklapanja ugovora na temelju okvirnog sporazuma</w:t>
      </w:r>
    </w:p>
    <w:p w14:paraId="5FA95165"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7DA481BB" w14:textId="77777777" w:rsidR="00C46229" w:rsidRPr="00C46229" w:rsidRDefault="00C46229" w:rsidP="00C46229">
      <w:pPr>
        <w:pStyle w:val="NoSpacing"/>
        <w:rPr>
          <w:rFonts w:ascii="Titillium" w:hAnsi="Titillium"/>
          <w:sz w:val="20"/>
          <w:szCs w:val="20"/>
        </w:rPr>
      </w:pPr>
    </w:p>
    <w:p w14:paraId="2B11CE4F" w14:textId="77777777" w:rsidR="00C46229" w:rsidRPr="00C46229" w:rsidRDefault="00C46229" w:rsidP="00C46229">
      <w:pPr>
        <w:pStyle w:val="NoSpacing"/>
        <w:rPr>
          <w:rFonts w:ascii="Titillium" w:hAnsi="Titillium"/>
          <w:b/>
          <w:sz w:val="20"/>
          <w:szCs w:val="20"/>
        </w:rPr>
      </w:pPr>
      <w:r w:rsidRPr="00C46229">
        <w:rPr>
          <w:rFonts w:ascii="Titillium" w:hAnsi="Titillium"/>
          <w:b/>
          <w:sz w:val="20"/>
          <w:szCs w:val="20"/>
        </w:rPr>
        <w:t>7.9.</w:t>
      </w:r>
      <w:r w:rsidRPr="00C46229">
        <w:rPr>
          <w:rFonts w:ascii="Titillium" w:hAnsi="Titillium"/>
          <w:b/>
          <w:sz w:val="20"/>
          <w:szCs w:val="20"/>
        </w:rPr>
        <w:tab/>
        <w:t>Podaci potrebni za provedbu elektroničke dražbe</w:t>
      </w:r>
    </w:p>
    <w:p w14:paraId="65246B6A" w14:textId="77777777" w:rsidR="00C46229" w:rsidRPr="00C46229" w:rsidRDefault="00C46229" w:rsidP="00C46229">
      <w:pPr>
        <w:pStyle w:val="NoSpacing"/>
        <w:rPr>
          <w:rFonts w:ascii="Titillium" w:hAnsi="Titillium"/>
          <w:sz w:val="20"/>
          <w:szCs w:val="20"/>
        </w:rPr>
      </w:pPr>
      <w:r w:rsidRPr="00C46229">
        <w:rPr>
          <w:rFonts w:ascii="Titillium" w:hAnsi="Titillium"/>
          <w:sz w:val="20"/>
          <w:szCs w:val="20"/>
        </w:rPr>
        <w:t>Ne primjenjuje se.</w:t>
      </w:r>
    </w:p>
    <w:p w14:paraId="41399C9F" w14:textId="77777777" w:rsidR="00C46229" w:rsidRPr="00C46229" w:rsidRDefault="00C46229" w:rsidP="00C46229">
      <w:pPr>
        <w:pStyle w:val="NoSpacing"/>
        <w:rPr>
          <w:rFonts w:ascii="Titillium" w:hAnsi="Titillium"/>
          <w:sz w:val="20"/>
          <w:szCs w:val="20"/>
        </w:rPr>
      </w:pPr>
    </w:p>
    <w:p w14:paraId="5A3A54CE" w14:textId="77777777" w:rsidR="00C46229" w:rsidRPr="00C46229" w:rsidRDefault="00C46229" w:rsidP="00C46229">
      <w:pPr>
        <w:pStyle w:val="NoSpacing"/>
        <w:rPr>
          <w:rFonts w:ascii="Titillium" w:hAnsi="Titillium"/>
          <w:b/>
          <w:sz w:val="20"/>
          <w:szCs w:val="20"/>
        </w:rPr>
      </w:pPr>
      <w:r w:rsidRPr="00C46229">
        <w:rPr>
          <w:rFonts w:ascii="Titillium" w:hAnsi="Titillium"/>
          <w:b/>
          <w:sz w:val="20"/>
          <w:szCs w:val="20"/>
        </w:rPr>
        <w:t>7.10.</w:t>
      </w:r>
      <w:r w:rsidRPr="00C46229">
        <w:rPr>
          <w:rFonts w:ascii="Titillium" w:hAnsi="Titillium"/>
          <w:b/>
          <w:sz w:val="20"/>
          <w:szCs w:val="20"/>
        </w:rPr>
        <w:tab/>
        <w:t>Odredbe koje se odnose na zajednicu gospodarskih subjekta (ponuditelja)</w:t>
      </w:r>
    </w:p>
    <w:p w14:paraId="0AD442E6" w14:textId="77777777"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14:paraId="0C171FCA" w14:textId="77777777" w:rsidR="00C46229" w:rsidRPr="00C46229" w:rsidRDefault="00C46229" w:rsidP="00D5215A">
      <w:pPr>
        <w:pStyle w:val="NoSpacing"/>
        <w:jc w:val="both"/>
        <w:rPr>
          <w:rFonts w:ascii="Titillium" w:hAnsi="Titillium"/>
          <w:sz w:val="20"/>
          <w:szCs w:val="20"/>
        </w:rPr>
      </w:pPr>
    </w:p>
    <w:p w14:paraId="2F2792C6" w14:textId="77777777" w:rsidR="00283A6B" w:rsidRDefault="00C46229" w:rsidP="00D5215A">
      <w:pPr>
        <w:pStyle w:val="NoSpacing"/>
        <w:jc w:val="both"/>
        <w:rPr>
          <w:rFonts w:ascii="Titillium" w:hAnsi="Titillium"/>
          <w:sz w:val="20"/>
          <w:szCs w:val="20"/>
        </w:rPr>
      </w:pPr>
      <w:r w:rsidRPr="00C46229">
        <w:rPr>
          <w:rFonts w:ascii="Titillium" w:hAnsi="Titillium"/>
          <w:sz w:val="20"/>
          <w:szCs w:val="20"/>
        </w:rPr>
        <w:t xml:space="preserve">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ugovora(npr. međusobni sporazum, ugovor o poslovnoj suradnji ili slično). </w:t>
      </w:r>
    </w:p>
    <w:p w14:paraId="18478002" w14:textId="77777777" w:rsidR="00283A6B" w:rsidRDefault="00C46229" w:rsidP="00D5215A">
      <w:pPr>
        <w:pStyle w:val="NoSpacing"/>
        <w:jc w:val="both"/>
        <w:rPr>
          <w:rFonts w:ascii="Titillium" w:hAnsi="Titillium"/>
          <w:sz w:val="20"/>
          <w:szCs w:val="20"/>
        </w:rPr>
      </w:pPr>
      <w:r w:rsidRPr="00C46229">
        <w:rPr>
          <w:rFonts w:ascii="Titillium" w:hAnsi="Titillium"/>
          <w:sz w:val="20"/>
          <w:szCs w:val="20"/>
        </w:rPr>
        <w:t xml:space="preserve">Navedeni akt mora biti potpisan i ovjeren (samo ukoliko se u zemlji poslovnog </w:t>
      </w:r>
      <w:proofErr w:type="spellStart"/>
      <w:r w:rsidRPr="00C46229">
        <w:rPr>
          <w:rFonts w:ascii="Titillium" w:hAnsi="Titillium"/>
          <w:sz w:val="20"/>
          <w:szCs w:val="20"/>
        </w:rPr>
        <w:t>nastana</w:t>
      </w:r>
      <w:proofErr w:type="spellEnd"/>
      <w:r w:rsidRPr="00C46229">
        <w:rPr>
          <w:rFonts w:ascii="Titillium" w:hAnsi="Titillium"/>
          <w:sz w:val="20"/>
          <w:szCs w:val="20"/>
        </w:rPr>
        <w:t xml:space="preserve"> koristi pečat) od svih članova Zajednice te se dostavlja Naručitelju najkasnije u roku od 8 (osam) dana od izvršnosti odluke o odabiru. 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obavještavanje </w:t>
      </w:r>
    </w:p>
    <w:p w14:paraId="6E2B3EA1" w14:textId="40C67371"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 xml:space="preserve">Naručitelja o promjenama vezanim uz potpisnike ugovora o javnoj nabavi, način odvijanja komunikacije (koji član Zajednice na koji e-mail, </w:t>
      </w:r>
      <w:proofErr w:type="spellStart"/>
      <w:r w:rsidRPr="00C46229">
        <w:rPr>
          <w:rFonts w:ascii="Titillium" w:hAnsi="Titillium"/>
          <w:sz w:val="20"/>
          <w:szCs w:val="20"/>
        </w:rPr>
        <w:t>fax</w:t>
      </w:r>
      <w:proofErr w:type="spellEnd"/>
      <w:r w:rsidRPr="00C46229">
        <w:rPr>
          <w:rFonts w:ascii="Titillium" w:hAnsi="Titillium"/>
          <w:sz w:val="20"/>
          <w:szCs w:val="20"/>
        </w:rPr>
        <w:t xml:space="preserve"> i slično), način sklapanja ugovora i potpisnik ugovora, izdavanje jamstava na temelju ugovora, komunikacija vezana uz izvršavanje ugovora, izdavanje računa, plaćanje računa, potpisivanje primopredajnog zapisnika i ostala bitna pitanja. </w:t>
      </w:r>
    </w:p>
    <w:p w14:paraId="0C0E93D0" w14:textId="77777777" w:rsidR="00C46229" w:rsidRPr="00C46229" w:rsidRDefault="00C46229" w:rsidP="00D5215A">
      <w:pPr>
        <w:pStyle w:val="NoSpacing"/>
        <w:jc w:val="both"/>
        <w:rPr>
          <w:rFonts w:ascii="Titillium" w:hAnsi="Titillium"/>
          <w:sz w:val="20"/>
          <w:szCs w:val="20"/>
        </w:rPr>
      </w:pPr>
    </w:p>
    <w:p w14:paraId="264946A4" w14:textId="0D8C7FF9" w:rsidR="00C46229" w:rsidRDefault="00C46229" w:rsidP="00D5215A">
      <w:pPr>
        <w:pStyle w:val="NoSpacing"/>
        <w:jc w:val="both"/>
        <w:rPr>
          <w:rFonts w:ascii="Titillium" w:hAnsi="Titillium"/>
          <w:sz w:val="20"/>
          <w:szCs w:val="20"/>
        </w:rPr>
      </w:pPr>
      <w:r w:rsidRPr="00C46229">
        <w:rPr>
          <w:rFonts w:ascii="Titillium" w:hAnsi="Titillium"/>
          <w:sz w:val="20"/>
          <w:szCs w:val="20"/>
        </w:rPr>
        <w:t>Zajednica gospodarskih subjekata može se osloniti na sposobnost članova zajednice ili drugih subjekata.</w:t>
      </w:r>
    </w:p>
    <w:p w14:paraId="621635D7" w14:textId="77777777" w:rsidR="00283A6B" w:rsidRPr="00C46229" w:rsidRDefault="00283A6B" w:rsidP="00D5215A">
      <w:pPr>
        <w:pStyle w:val="NoSpacing"/>
        <w:jc w:val="both"/>
        <w:rPr>
          <w:rFonts w:ascii="Titillium" w:hAnsi="Titillium"/>
          <w:sz w:val="20"/>
          <w:szCs w:val="20"/>
        </w:rPr>
      </w:pPr>
    </w:p>
    <w:p w14:paraId="63BB3BD9" w14:textId="10DBA279"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 xml:space="preserve">Naručitelj neposredno plaća svakom članu zajednice gospodarskih subjekata za onaj dio ugovora koji je on izvršio, ako zajednica ponuditelja ne odredi drugačije. </w:t>
      </w:r>
    </w:p>
    <w:p w14:paraId="489B3DD0" w14:textId="62B0BB0E"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U ponudi zajednice gospodarskih subjekata mora biti navedeno koji će dio ugovora (predmet, količina, vrijednost i postotni dio) izvršavati pojedini član zajednice gospodarskih subjekata.</w:t>
      </w:r>
    </w:p>
    <w:p w14:paraId="515FFED0" w14:textId="77777777" w:rsidR="00283A6B" w:rsidRDefault="00283A6B" w:rsidP="00D5215A">
      <w:pPr>
        <w:pStyle w:val="NoSpacing"/>
        <w:jc w:val="both"/>
        <w:rPr>
          <w:rFonts w:ascii="Titillium" w:hAnsi="Titillium"/>
          <w:sz w:val="20"/>
          <w:szCs w:val="20"/>
        </w:rPr>
      </w:pPr>
    </w:p>
    <w:p w14:paraId="25BB0076" w14:textId="2C6FA029" w:rsidR="00D5215A" w:rsidRDefault="00C46229" w:rsidP="00D5215A">
      <w:pPr>
        <w:pStyle w:val="NoSpacing"/>
        <w:jc w:val="both"/>
        <w:rPr>
          <w:rFonts w:ascii="Titillium" w:hAnsi="Titillium"/>
          <w:sz w:val="20"/>
          <w:szCs w:val="20"/>
        </w:rPr>
      </w:pPr>
      <w:r w:rsidRPr="00C46229">
        <w:rPr>
          <w:rFonts w:ascii="Titillium" w:hAnsi="Titillium"/>
          <w:sz w:val="20"/>
          <w:szCs w:val="20"/>
        </w:rPr>
        <w:t>U slučaju zajednice gospodarskih subjekata svi članovi zajednice gospodarskih subjekata moraju dostaviti zaseban E</w:t>
      </w:r>
      <w:r w:rsidR="00D5215A">
        <w:rPr>
          <w:rFonts w:ascii="Titillium" w:hAnsi="Titillium"/>
          <w:sz w:val="20"/>
          <w:szCs w:val="20"/>
        </w:rPr>
        <w:t xml:space="preserve">SPD i pojedinačno dokazati da: </w:t>
      </w:r>
    </w:p>
    <w:p w14:paraId="120D699D" w14:textId="52092264" w:rsidR="00C46229" w:rsidRDefault="00C46229" w:rsidP="00F77A9D">
      <w:pPr>
        <w:pStyle w:val="NoSpacing"/>
        <w:numPr>
          <w:ilvl w:val="1"/>
          <w:numId w:val="12"/>
        </w:numPr>
        <w:jc w:val="both"/>
        <w:rPr>
          <w:rFonts w:ascii="Titillium" w:hAnsi="Titillium"/>
          <w:sz w:val="20"/>
          <w:szCs w:val="20"/>
        </w:rPr>
      </w:pPr>
      <w:r w:rsidRPr="00C46229">
        <w:rPr>
          <w:rFonts w:ascii="Titillium" w:hAnsi="Titillium"/>
          <w:sz w:val="20"/>
          <w:szCs w:val="20"/>
        </w:rPr>
        <w:t>nije u jednoj od situacija zbog koje se gospodarski subjekt isključuje iz postupka javne nabave (osnove za isključenje) – sukladno ovoj Dokumentaciji o nabavi,</w:t>
      </w:r>
    </w:p>
    <w:p w14:paraId="71FDF262" w14:textId="77777777" w:rsidR="00283A6B" w:rsidRDefault="00283A6B" w:rsidP="00D5215A">
      <w:pPr>
        <w:pStyle w:val="NoSpacing"/>
        <w:jc w:val="both"/>
        <w:rPr>
          <w:rFonts w:ascii="Titillium" w:hAnsi="Titillium"/>
          <w:sz w:val="20"/>
          <w:szCs w:val="20"/>
        </w:rPr>
      </w:pPr>
    </w:p>
    <w:p w14:paraId="27996F19" w14:textId="6E273A8C" w:rsidR="00D5215A" w:rsidRDefault="00C46229" w:rsidP="00D5215A">
      <w:pPr>
        <w:pStyle w:val="NoSpacing"/>
        <w:jc w:val="both"/>
        <w:rPr>
          <w:rFonts w:ascii="Titillium" w:hAnsi="Titillium"/>
          <w:sz w:val="20"/>
          <w:szCs w:val="20"/>
        </w:rPr>
      </w:pPr>
      <w:r w:rsidRPr="00C46229">
        <w:rPr>
          <w:rFonts w:ascii="Titillium" w:hAnsi="Titillium"/>
          <w:sz w:val="20"/>
          <w:szCs w:val="20"/>
        </w:rPr>
        <w:t>s</w:t>
      </w:r>
      <w:r w:rsidR="00D5215A">
        <w:rPr>
          <w:rFonts w:ascii="Titillium" w:hAnsi="Titillium"/>
          <w:sz w:val="20"/>
          <w:szCs w:val="20"/>
        </w:rPr>
        <w:t>kupno (zajednički) dokazati da:</w:t>
      </w:r>
    </w:p>
    <w:p w14:paraId="4447DB5D" w14:textId="77777777" w:rsidR="00C46229" w:rsidRPr="00C46229" w:rsidRDefault="00C46229" w:rsidP="00F77A9D">
      <w:pPr>
        <w:pStyle w:val="NoSpacing"/>
        <w:numPr>
          <w:ilvl w:val="1"/>
          <w:numId w:val="12"/>
        </w:numPr>
        <w:jc w:val="both"/>
        <w:rPr>
          <w:rFonts w:ascii="Titillium" w:hAnsi="Titillium"/>
          <w:sz w:val="20"/>
          <w:szCs w:val="20"/>
        </w:rPr>
      </w:pPr>
      <w:r w:rsidRPr="00C46229">
        <w:rPr>
          <w:rFonts w:ascii="Titillium" w:hAnsi="Titillium"/>
          <w:sz w:val="20"/>
          <w:szCs w:val="20"/>
        </w:rPr>
        <w:t>ispunjavaju tražene kriterije za kvalitativni odabir gospodarskog subjekta (dokaze sposobnosti) iz ove Dokumentacije o nabavi.</w:t>
      </w:r>
    </w:p>
    <w:p w14:paraId="13B74AFE" w14:textId="77777777" w:rsidR="00C46229" w:rsidRPr="00C46229" w:rsidRDefault="00C46229" w:rsidP="00C46229">
      <w:pPr>
        <w:pStyle w:val="NoSpacing"/>
        <w:rPr>
          <w:rFonts w:ascii="Titillium" w:hAnsi="Titillium"/>
          <w:sz w:val="20"/>
          <w:szCs w:val="20"/>
        </w:rPr>
      </w:pPr>
    </w:p>
    <w:p w14:paraId="79C49B55" w14:textId="77777777" w:rsidR="00C46229" w:rsidRPr="00C46229" w:rsidRDefault="00C46229" w:rsidP="00C46229">
      <w:pPr>
        <w:pStyle w:val="NoSpacing"/>
        <w:rPr>
          <w:rFonts w:ascii="Titillium" w:hAnsi="Titillium"/>
          <w:b/>
          <w:sz w:val="20"/>
          <w:szCs w:val="20"/>
        </w:rPr>
      </w:pPr>
      <w:r w:rsidRPr="00C46229">
        <w:rPr>
          <w:rFonts w:ascii="Titillium" w:hAnsi="Titillium"/>
          <w:b/>
          <w:sz w:val="20"/>
          <w:szCs w:val="20"/>
        </w:rPr>
        <w:t>7.11.</w:t>
      </w:r>
      <w:r w:rsidRPr="00C46229">
        <w:rPr>
          <w:rFonts w:ascii="Titillium" w:hAnsi="Titillium"/>
          <w:b/>
          <w:sz w:val="20"/>
          <w:szCs w:val="20"/>
        </w:rPr>
        <w:tab/>
        <w:t xml:space="preserve">Odredbe koje se odnose na </w:t>
      </w:r>
      <w:proofErr w:type="spellStart"/>
      <w:r w:rsidRPr="00C46229">
        <w:rPr>
          <w:rFonts w:ascii="Titillium" w:hAnsi="Titillium"/>
          <w:b/>
          <w:sz w:val="20"/>
          <w:szCs w:val="20"/>
        </w:rPr>
        <w:t>podugovaratelje</w:t>
      </w:r>
      <w:proofErr w:type="spellEnd"/>
    </w:p>
    <w:p w14:paraId="0687FA67" w14:textId="77777777" w:rsidR="00D5215A" w:rsidRDefault="00C46229" w:rsidP="00D5215A">
      <w:pPr>
        <w:pStyle w:val="NoSpacing"/>
        <w:jc w:val="both"/>
        <w:rPr>
          <w:rFonts w:ascii="Titillium" w:hAnsi="Titillium"/>
          <w:sz w:val="20"/>
          <w:szCs w:val="20"/>
        </w:rPr>
      </w:pPr>
      <w:r w:rsidRPr="00C46229">
        <w:rPr>
          <w:rFonts w:ascii="Titillium" w:hAnsi="Titillium"/>
          <w:sz w:val="20"/>
          <w:szCs w:val="20"/>
        </w:rPr>
        <w:t>Gospodarski subjekt koji namjerava dati dio ugovora o javnoj nabavi u</w:t>
      </w:r>
      <w:r w:rsidR="00D5215A">
        <w:rPr>
          <w:rFonts w:ascii="Titillium" w:hAnsi="Titillium"/>
          <w:sz w:val="20"/>
          <w:szCs w:val="20"/>
        </w:rPr>
        <w:t xml:space="preserve"> podugovor obvezan je u ponudi:</w:t>
      </w:r>
    </w:p>
    <w:p w14:paraId="299DF1E6" w14:textId="77777777" w:rsidR="00D5215A" w:rsidRDefault="00C46229" w:rsidP="00F77A9D">
      <w:pPr>
        <w:pStyle w:val="NoSpacing"/>
        <w:numPr>
          <w:ilvl w:val="1"/>
          <w:numId w:val="12"/>
        </w:numPr>
        <w:jc w:val="both"/>
        <w:rPr>
          <w:rFonts w:ascii="Titillium" w:hAnsi="Titillium"/>
          <w:sz w:val="20"/>
          <w:szCs w:val="20"/>
        </w:rPr>
      </w:pPr>
      <w:r w:rsidRPr="00C46229">
        <w:rPr>
          <w:rFonts w:ascii="Titillium" w:hAnsi="Titillium"/>
          <w:sz w:val="20"/>
          <w:szCs w:val="20"/>
        </w:rPr>
        <w:t xml:space="preserve">navesti koji dio ugovora namjerava dati u podugovor (predmet ili količina, vrijednost ili postotni udio), </w:t>
      </w:r>
    </w:p>
    <w:p w14:paraId="2B55CC0A" w14:textId="77777777" w:rsidR="00D5215A" w:rsidRDefault="00C46229" w:rsidP="00F77A9D">
      <w:pPr>
        <w:pStyle w:val="NoSpacing"/>
        <w:numPr>
          <w:ilvl w:val="1"/>
          <w:numId w:val="12"/>
        </w:numPr>
        <w:jc w:val="both"/>
        <w:rPr>
          <w:rFonts w:ascii="Titillium" w:hAnsi="Titillium"/>
          <w:sz w:val="20"/>
          <w:szCs w:val="20"/>
        </w:rPr>
      </w:pPr>
      <w:r w:rsidRPr="00D5215A">
        <w:rPr>
          <w:rFonts w:ascii="Titillium" w:hAnsi="Titillium"/>
          <w:sz w:val="20"/>
          <w:szCs w:val="20"/>
        </w:rPr>
        <w:t xml:space="preserve">navesti podatke o </w:t>
      </w:r>
      <w:proofErr w:type="spellStart"/>
      <w:r w:rsidRPr="00D5215A">
        <w:rPr>
          <w:rFonts w:ascii="Titillium" w:hAnsi="Titillium"/>
          <w:sz w:val="20"/>
          <w:szCs w:val="20"/>
        </w:rPr>
        <w:t>podugovarateljima</w:t>
      </w:r>
      <w:proofErr w:type="spellEnd"/>
      <w:r w:rsidRPr="00D5215A">
        <w:rPr>
          <w:rFonts w:ascii="Titillium" w:hAnsi="Titillium"/>
          <w:sz w:val="20"/>
          <w:szCs w:val="20"/>
        </w:rPr>
        <w:t xml:space="preserve"> (naziv ili tvrtka, sjedište, OIB ili nacionalni identifikacijski broj, broj računa, zakonski zastupnici </w:t>
      </w:r>
      <w:proofErr w:type="spellStart"/>
      <w:r w:rsidRPr="00D5215A">
        <w:rPr>
          <w:rFonts w:ascii="Titillium" w:hAnsi="Titillium"/>
          <w:sz w:val="20"/>
          <w:szCs w:val="20"/>
        </w:rPr>
        <w:t>podugovratelja</w:t>
      </w:r>
      <w:proofErr w:type="spellEnd"/>
      <w:r w:rsidRPr="00D5215A">
        <w:rPr>
          <w:rFonts w:ascii="Titillium" w:hAnsi="Titillium"/>
          <w:sz w:val="20"/>
          <w:szCs w:val="20"/>
        </w:rPr>
        <w:t>),</w:t>
      </w:r>
    </w:p>
    <w:p w14:paraId="15815A0D" w14:textId="34004CD4" w:rsidR="00C46229" w:rsidRDefault="00C46229" w:rsidP="00F77A9D">
      <w:pPr>
        <w:pStyle w:val="NoSpacing"/>
        <w:numPr>
          <w:ilvl w:val="1"/>
          <w:numId w:val="12"/>
        </w:numPr>
        <w:jc w:val="both"/>
        <w:rPr>
          <w:rFonts w:ascii="Titillium" w:hAnsi="Titillium"/>
          <w:sz w:val="20"/>
          <w:szCs w:val="20"/>
        </w:rPr>
      </w:pPr>
      <w:r w:rsidRPr="00D5215A">
        <w:rPr>
          <w:rFonts w:ascii="Titillium" w:hAnsi="Titillium"/>
          <w:sz w:val="20"/>
          <w:szCs w:val="20"/>
        </w:rPr>
        <w:t xml:space="preserve">dostaviti ESPD - europsku jedinstvenu dokumentaciju o nabavi za svakog </w:t>
      </w:r>
      <w:proofErr w:type="spellStart"/>
      <w:r w:rsidRPr="00D5215A">
        <w:rPr>
          <w:rFonts w:ascii="Titillium" w:hAnsi="Titillium"/>
          <w:sz w:val="20"/>
          <w:szCs w:val="20"/>
        </w:rPr>
        <w:t>podugovaratelja</w:t>
      </w:r>
      <w:proofErr w:type="spellEnd"/>
      <w:r w:rsidRPr="00D5215A">
        <w:rPr>
          <w:rFonts w:ascii="Titillium" w:hAnsi="Titillium"/>
          <w:sz w:val="20"/>
          <w:szCs w:val="20"/>
        </w:rPr>
        <w:t>.</w:t>
      </w:r>
    </w:p>
    <w:p w14:paraId="1FE5B260" w14:textId="77777777" w:rsidR="00404C15" w:rsidRDefault="00404C15" w:rsidP="00D5215A">
      <w:pPr>
        <w:pStyle w:val="NoSpacing"/>
        <w:jc w:val="both"/>
        <w:rPr>
          <w:rFonts w:ascii="Titillium" w:hAnsi="Titillium"/>
          <w:sz w:val="20"/>
          <w:szCs w:val="20"/>
        </w:rPr>
      </w:pPr>
    </w:p>
    <w:p w14:paraId="1E6863F7" w14:textId="6224267F"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 xml:space="preserve">Navedeni podaci o </w:t>
      </w:r>
      <w:proofErr w:type="spellStart"/>
      <w:r w:rsidRPr="00C46229">
        <w:rPr>
          <w:rFonts w:ascii="Titillium" w:hAnsi="Titillium"/>
          <w:sz w:val="20"/>
          <w:szCs w:val="20"/>
        </w:rPr>
        <w:t>podugovaratelju</w:t>
      </w:r>
      <w:proofErr w:type="spellEnd"/>
      <w:r w:rsidRPr="00C46229">
        <w:rPr>
          <w:rFonts w:ascii="Titillium" w:hAnsi="Titillium"/>
          <w:sz w:val="20"/>
          <w:szCs w:val="20"/>
        </w:rPr>
        <w:t>/ima će biti obvezni sastojci ugovora o javnoj nabavi.</w:t>
      </w:r>
    </w:p>
    <w:p w14:paraId="36622ECC" w14:textId="77777777" w:rsidR="00283A6B" w:rsidRDefault="00283A6B" w:rsidP="00D5215A">
      <w:pPr>
        <w:pStyle w:val="NoSpacing"/>
        <w:jc w:val="both"/>
        <w:rPr>
          <w:rFonts w:ascii="Titillium" w:hAnsi="Titillium"/>
          <w:sz w:val="20"/>
          <w:szCs w:val="20"/>
        </w:rPr>
      </w:pPr>
    </w:p>
    <w:p w14:paraId="7544002C" w14:textId="77777777" w:rsidR="00283A6B" w:rsidRDefault="00C46229" w:rsidP="00D5215A">
      <w:pPr>
        <w:pStyle w:val="NoSpacing"/>
        <w:jc w:val="both"/>
        <w:rPr>
          <w:rFonts w:ascii="Titillium" w:hAnsi="Titillium"/>
          <w:sz w:val="20"/>
          <w:szCs w:val="20"/>
        </w:rPr>
      </w:pPr>
      <w:r w:rsidRPr="00C46229">
        <w:rPr>
          <w:rFonts w:ascii="Titillium" w:hAnsi="Titillium"/>
          <w:sz w:val="20"/>
          <w:szCs w:val="20"/>
        </w:rPr>
        <w:t xml:space="preserve">Ponuditelj je obvezan za svakog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dokazati da ne postoje obvezene i ostale </w:t>
      </w:r>
      <w:r w:rsidR="00E625ED">
        <w:rPr>
          <w:rFonts w:ascii="Titillium" w:hAnsi="Titillium"/>
          <w:sz w:val="20"/>
          <w:szCs w:val="20"/>
        </w:rPr>
        <w:t xml:space="preserve">osnove </w:t>
      </w:r>
      <w:r w:rsidRPr="00C46229">
        <w:rPr>
          <w:rFonts w:ascii="Titillium" w:hAnsi="Titillium"/>
          <w:sz w:val="20"/>
          <w:szCs w:val="20"/>
        </w:rPr>
        <w:t xml:space="preserve">za isključenje iz </w:t>
      </w:r>
      <w:r w:rsidR="00404C15">
        <w:rPr>
          <w:rFonts w:ascii="Titillium" w:hAnsi="Titillium"/>
          <w:sz w:val="20"/>
          <w:szCs w:val="20"/>
        </w:rPr>
        <w:t xml:space="preserve">ove Dokumentacije o nabavi. </w:t>
      </w:r>
    </w:p>
    <w:p w14:paraId="0EF4FC6F" w14:textId="400AB163"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Ako javni naručitelj utvrdi da postoji osnova za isklj</w:t>
      </w:r>
      <w:r w:rsidR="0035327F">
        <w:rPr>
          <w:rFonts w:ascii="Titillium" w:hAnsi="Titillium"/>
          <w:sz w:val="20"/>
          <w:szCs w:val="20"/>
        </w:rPr>
        <w:t xml:space="preserve">učenje </w:t>
      </w:r>
      <w:proofErr w:type="spellStart"/>
      <w:r w:rsidR="0035327F">
        <w:rPr>
          <w:rFonts w:ascii="Titillium" w:hAnsi="Titillium"/>
          <w:sz w:val="20"/>
          <w:szCs w:val="20"/>
        </w:rPr>
        <w:t>podugovaratelja</w:t>
      </w:r>
      <w:proofErr w:type="spellEnd"/>
      <w:r w:rsidR="0035327F">
        <w:rPr>
          <w:rFonts w:ascii="Titillium" w:hAnsi="Titillium"/>
          <w:sz w:val="20"/>
          <w:szCs w:val="20"/>
        </w:rPr>
        <w:t xml:space="preserve"> </w:t>
      </w:r>
      <w:r w:rsidRPr="00C46229">
        <w:rPr>
          <w:rFonts w:ascii="Titillium" w:hAnsi="Titillium"/>
          <w:sz w:val="20"/>
          <w:szCs w:val="20"/>
        </w:rPr>
        <w:t xml:space="preserve">obvezan je od gospodarskog subjekta zatražiti zamjenu tog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u primjerenom roku, ne kraćem od pet dana.</w:t>
      </w:r>
    </w:p>
    <w:p w14:paraId="6784EA44" w14:textId="77777777" w:rsidR="00C46229" w:rsidRPr="00C46229" w:rsidRDefault="00C46229" w:rsidP="00D5215A">
      <w:pPr>
        <w:pStyle w:val="NoSpacing"/>
        <w:jc w:val="both"/>
        <w:rPr>
          <w:rFonts w:ascii="Titillium" w:hAnsi="Titillium"/>
          <w:sz w:val="20"/>
          <w:szCs w:val="20"/>
        </w:rPr>
      </w:pPr>
    </w:p>
    <w:p w14:paraId="711C1887" w14:textId="77777777"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 xml:space="preserve">Sudjelovanje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ne utječe na odgovornost ugovaratelja za izvršenje ugovora o javnoj nabavi. </w:t>
      </w:r>
    </w:p>
    <w:p w14:paraId="5A488C82" w14:textId="77777777" w:rsidR="00283A6B" w:rsidRDefault="00283A6B" w:rsidP="00D5215A">
      <w:pPr>
        <w:pStyle w:val="NoSpacing"/>
        <w:jc w:val="both"/>
        <w:rPr>
          <w:rFonts w:ascii="Titillium" w:hAnsi="Titillium"/>
          <w:sz w:val="20"/>
          <w:szCs w:val="20"/>
        </w:rPr>
      </w:pPr>
    </w:p>
    <w:p w14:paraId="58D433AA" w14:textId="647E3F20"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 xml:space="preserve">Ako se dio ugovora o javnoj nabavi daje u podugovor, tada za dio ugovora koji je isti izvršio, Naručitelj neposredno plaća </w:t>
      </w:r>
      <w:proofErr w:type="spellStart"/>
      <w:r w:rsidRPr="00C46229">
        <w:rPr>
          <w:rFonts w:ascii="Titillium" w:hAnsi="Titillium"/>
          <w:sz w:val="20"/>
          <w:szCs w:val="20"/>
        </w:rPr>
        <w:t>podugovaratelju</w:t>
      </w:r>
      <w:proofErr w:type="spellEnd"/>
      <w:r w:rsidRPr="00C46229">
        <w:rPr>
          <w:rFonts w:ascii="Titillium" w:hAnsi="Titillium"/>
          <w:sz w:val="20"/>
          <w:szCs w:val="20"/>
        </w:rPr>
        <w:t xml:space="preserve"> (osim ako ugovaratelj dokaže da su obveze prema </w:t>
      </w:r>
      <w:proofErr w:type="spellStart"/>
      <w:r w:rsidRPr="00C46229">
        <w:rPr>
          <w:rFonts w:ascii="Titillium" w:hAnsi="Titillium"/>
          <w:sz w:val="20"/>
          <w:szCs w:val="20"/>
        </w:rPr>
        <w:t>podugovaratelju</w:t>
      </w:r>
      <w:proofErr w:type="spellEnd"/>
      <w:r w:rsidRPr="00C46229">
        <w:rPr>
          <w:rFonts w:ascii="Titillium" w:hAnsi="Titillium"/>
          <w:sz w:val="20"/>
          <w:szCs w:val="20"/>
        </w:rPr>
        <w:t xml:space="preserve"> za taj dio ugovora već podmirene). Ugovaratelj mora svom računu ili situaciji priložiti račune ili situacije svojih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koje je prethodno potvrdio.</w:t>
      </w:r>
    </w:p>
    <w:p w14:paraId="5FCEF27F" w14:textId="77777777" w:rsidR="00C46229" w:rsidRPr="00C46229" w:rsidRDefault="00C46229" w:rsidP="00D5215A">
      <w:pPr>
        <w:pStyle w:val="NoSpacing"/>
        <w:jc w:val="both"/>
        <w:rPr>
          <w:rFonts w:ascii="Titillium" w:hAnsi="Titillium"/>
          <w:sz w:val="20"/>
          <w:szCs w:val="20"/>
        </w:rPr>
      </w:pPr>
    </w:p>
    <w:p w14:paraId="2139E800" w14:textId="77777777" w:rsidR="00D5215A" w:rsidRDefault="00C46229" w:rsidP="00D5215A">
      <w:pPr>
        <w:pStyle w:val="NoSpacing"/>
        <w:jc w:val="both"/>
        <w:rPr>
          <w:rFonts w:ascii="Titillium" w:hAnsi="Titillium"/>
          <w:sz w:val="20"/>
          <w:szCs w:val="20"/>
        </w:rPr>
      </w:pPr>
      <w:r w:rsidRPr="00C46229">
        <w:rPr>
          <w:rFonts w:ascii="Titillium" w:hAnsi="Titillium"/>
          <w:sz w:val="20"/>
          <w:szCs w:val="20"/>
        </w:rPr>
        <w:t>Ugovaratelj može tijekom izvršenja ugovora o javnoj nab</w:t>
      </w:r>
      <w:r w:rsidR="00D5215A">
        <w:rPr>
          <w:rFonts w:ascii="Titillium" w:hAnsi="Titillium"/>
          <w:sz w:val="20"/>
          <w:szCs w:val="20"/>
        </w:rPr>
        <w:t>avi od Naručitelja zahtijevati:</w:t>
      </w:r>
    </w:p>
    <w:p w14:paraId="45861720" w14:textId="77777777" w:rsidR="00D5215A" w:rsidRDefault="00C46229" w:rsidP="00F77A9D">
      <w:pPr>
        <w:pStyle w:val="NoSpacing"/>
        <w:numPr>
          <w:ilvl w:val="1"/>
          <w:numId w:val="12"/>
        </w:numPr>
        <w:jc w:val="both"/>
        <w:rPr>
          <w:rFonts w:ascii="Titillium" w:hAnsi="Titillium"/>
          <w:sz w:val="20"/>
          <w:szCs w:val="20"/>
        </w:rPr>
      </w:pPr>
      <w:r w:rsidRPr="00C46229">
        <w:rPr>
          <w:rFonts w:ascii="Titillium" w:hAnsi="Titillium"/>
          <w:sz w:val="20"/>
          <w:szCs w:val="20"/>
        </w:rPr>
        <w:t xml:space="preserve">promjenu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za onaj dio ugovora o javnoj nabavi koji je prethodno dao u podugovor,</w:t>
      </w:r>
    </w:p>
    <w:p w14:paraId="4431F945" w14:textId="77777777" w:rsidR="00D5215A" w:rsidRDefault="00C46229" w:rsidP="00F77A9D">
      <w:pPr>
        <w:pStyle w:val="NoSpacing"/>
        <w:numPr>
          <w:ilvl w:val="1"/>
          <w:numId w:val="12"/>
        </w:numPr>
        <w:jc w:val="both"/>
        <w:rPr>
          <w:rFonts w:ascii="Titillium" w:hAnsi="Titillium"/>
          <w:sz w:val="20"/>
          <w:szCs w:val="20"/>
        </w:rPr>
      </w:pPr>
      <w:r w:rsidRPr="00D5215A">
        <w:rPr>
          <w:rFonts w:ascii="Titillium" w:hAnsi="Titillium"/>
          <w:sz w:val="20"/>
          <w:szCs w:val="20"/>
        </w:rPr>
        <w:t xml:space="preserve">uvođenje jednog ili više novih </w:t>
      </w:r>
      <w:proofErr w:type="spellStart"/>
      <w:r w:rsidRPr="00D5215A">
        <w:rPr>
          <w:rFonts w:ascii="Titillium" w:hAnsi="Titillium"/>
          <w:sz w:val="20"/>
          <w:szCs w:val="20"/>
        </w:rPr>
        <w:t>podugovaratelja</w:t>
      </w:r>
      <w:proofErr w:type="spellEnd"/>
      <w:r w:rsidRPr="00D5215A">
        <w:rPr>
          <w:rFonts w:ascii="Titillium" w:hAnsi="Titillium"/>
          <w:sz w:val="20"/>
          <w:szCs w:val="20"/>
        </w:rPr>
        <w:t xml:space="preserve"> čiji ukupni udio ne smije prijeći 30% vrijednosti ugovora o javnoj nabavi bez poreza na dodanu vrijednost, neovisno o tome je li prethodno dao dio ugovora o javnoj nabavi u podugovor ili ne,</w:t>
      </w:r>
    </w:p>
    <w:p w14:paraId="4C34B351" w14:textId="77777777" w:rsidR="00C46229" w:rsidRPr="00D5215A" w:rsidRDefault="00C46229" w:rsidP="00F77A9D">
      <w:pPr>
        <w:pStyle w:val="NoSpacing"/>
        <w:numPr>
          <w:ilvl w:val="1"/>
          <w:numId w:val="12"/>
        </w:numPr>
        <w:jc w:val="both"/>
        <w:rPr>
          <w:rFonts w:ascii="Titillium" w:hAnsi="Titillium"/>
          <w:sz w:val="20"/>
          <w:szCs w:val="20"/>
        </w:rPr>
      </w:pPr>
      <w:r w:rsidRPr="00D5215A">
        <w:rPr>
          <w:rFonts w:ascii="Titillium" w:hAnsi="Titillium"/>
          <w:sz w:val="20"/>
          <w:szCs w:val="20"/>
        </w:rPr>
        <w:t>preuzimanje izvršenja dijela ugovora o javnoj nabavi koji je prethodno dao u podugovor.</w:t>
      </w:r>
    </w:p>
    <w:p w14:paraId="3D916256" w14:textId="77777777" w:rsidR="00404C15" w:rsidRDefault="00404C15" w:rsidP="00D5215A">
      <w:pPr>
        <w:pStyle w:val="NoSpacing"/>
        <w:jc w:val="both"/>
        <w:rPr>
          <w:rFonts w:ascii="Titillium" w:hAnsi="Titillium"/>
          <w:sz w:val="20"/>
          <w:szCs w:val="20"/>
        </w:rPr>
      </w:pPr>
    </w:p>
    <w:p w14:paraId="74FB2275" w14:textId="64DAEBB5" w:rsidR="00C46229" w:rsidRPr="00C46229" w:rsidRDefault="00C46229" w:rsidP="00D5215A">
      <w:pPr>
        <w:pStyle w:val="NoSpacing"/>
        <w:jc w:val="both"/>
        <w:rPr>
          <w:rFonts w:ascii="Titillium" w:hAnsi="Titillium"/>
          <w:sz w:val="20"/>
          <w:szCs w:val="20"/>
        </w:rPr>
      </w:pPr>
      <w:r w:rsidRPr="00C46229">
        <w:rPr>
          <w:rFonts w:ascii="Titillium" w:hAnsi="Titillium"/>
          <w:sz w:val="20"/>
          <w:szCs w:val="20"/>
        </w:rPr>
        <w:t xml:space="preserve">Uz zahtjev, ugovaratelj Naručitelju dostavlja navedene podatke i dokumente za novog </w:t>
      </w:r>
      <w:proofErr w:type="spellStart"/>
      <w:r w:rsidRPr="00C46229">
        <w:rPr>
          <w:rFonts w:ascii="Titillium" w:hAnsi="Titillium"/>
          <w:sz w:val="20"/>
          <w:szCs w:val="20"/>
        </w:rPr>
        <w:t>podugovaratelja</w:t>
      </w:r>
      <w:proofErr w:type="spellEnd"/>
      <w:r w:rsidRPr="00C46229">
        <w:rPr>
          <w:rFonts w:ascii="Titillium" w:hAnsi="Titillium"/>
          <w:sz w:val="20"/>
          <w:szCs w:val="20"/>
        </w:rPr>
        <w:t>.</w:t>
      </w:r>
    </w:p>
    <w:p w14:paraId="1D7CA74A" w14:textId="77777777" w:rsidR="00283A6B" w:rsidRDefault="00283A6B" w:rsidP="00D5215A">
      <w:pPr>
        <w:pStyle w:val="NoSpacing"/>
        <w:jc w:val="both"/>
        <w:rPr>
          <w:rFonts w:ascii="Titillium" w:hAnsi="Titillium"/>
          <w:sz w:val="20"/>
          <w:szCs w:val="20"/>
        </w:rPr>
      </w:pPr>
    </w:p>
    <w:p w14:paraId="1986B03B" w14:textId="3486411C" w:rsidR="00D5215A" w:rsidRDefault="00C46229" w:rsidP="00D5215A">
      <w:pPr>
        <w:pStyle w:val="NoSpacing"/>
        <w:jc w:val="both"/>
        <w:rPr>
          <w:rFonts w:ascii="Titillium" w:hAnsi="Titillium"/>
          <w:sz w:val="20"/>
          <w:szCs w:val="20"/>
        </w:rPr>
      </w:pPr>
      <w:r w:rsidRPr="00C46229">
        <w:rPr>
          <w:rFonts w:ascii="Titillium" w:hAnsi="Titillium"/>
          <w:sz w:val="20"/>
          <w:szCs w:val="20"/>
        </w:rPr>
        <w:t>Javni naručitelj neće i ne smije</w:t>
      </w:r>
      <w:r w:rsidR="00D5215A">
        <w:rPr>
          <w:rFonts w:ascii="Titillium" w:hAnsi="Titillium"/>
          <w:sz w:val="20"/>
          <w:szCs w:val="20"/>
        </w:rPr>
        <w:t xml:space="preserve"> odobriti zahtjev ugovaratelja:</w:t>
      </w:r>
    </w:p>
    <w:p w14:paraId="5F2394E8" w14:textId="77777777" w:rsidR="00D5215A" w:rsidRDefault="00C46229" w:rsidP="00F77A9D">
      <w:pPr>
        <w:pStyle w:val="NoSpacing"/>
        <w:numPr>
          <w:ilvl w:val="1"/>
          <w:numId w:val="12"/>
        </w:numPr>
        <w:jc w:val="both"/>
        <w:rPr>
          <w:rFonts w:ascii="Titillium" w:hAnsi="Titillium"/>
          <w:sz w:val="20"/>
          <w:szCs w:val="20"/>
        </w:rPr>
      </w:pPr>
      <w:r w:rsidRPr="00C46229">
        <w:rPr>
          <w:rFonts w:ascii="Titillium" w:hAnsi="Titillium"/>
          <w:sz w:val="20"/>
          <w:szCs w:val="20"/>
        </w:rPr>
        <w:t xml:space="preserve">u slučaju zahtjeva za promjenom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za onaj dio ugovora koji je prethodno dao u podugovor i u slučaju zahtjeva za uvođenje jednog ili više novih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kojeg sada mijenja, a novi </w:t>
      </w:r>
      <w:proofErr w:type="spellStart"/>
      <w:r w:rsidRPr="00C46229">
        <w:rPr>
          <w:rFonts w:ascii="Titillium" w:hAnsi="Titillium"/>
          <w:sz w:val="20"/>
          <w:szCs w:val="20"/>
        </w:rPr>
        <w:t>podugovaratelj</w:t>
      </w:r>
      <w:proofErr w:type="spellEnd"/>
      <w:r w:rsidRPr="00C46229">
        <w:rPr>
          <w:rFonts w:ascii="Titillium" w:hAnsi="Titillium"/>
          <w:sz w:val="20"/>
          <w:szCs w:val="20"/>
        </w:rPr>
        <w:t xml:space="preserve"> ne ispunjava iste uvjete, ili postoje osnove za isključenje,</w:t>
      </w:r>
    </w:p>
    <w:p w14:paraId="73148170" w14:textId="77777777" w:rsidR="00C46229" w:rsidRPr="00D5215A" w:rsidRDefault="00C46229" w:rsidP="00F77A9D">
      <w:pPr>
        <w:pStyle w:val="NoSpacing"/>
        <w:numPr>
          <w:ilvl w:val="1"/>
          <w:numId w:val="12"/>
        </w:numPr>
        <w:jc w:val="both"/>
        <w:rPr>
          <w:rFonts w:ascii="Titillium" w:hAnsi="Titillium"/>
          <w:sz w:val="20"/>
          <w:szCs w:val="20"/>
        </w:rPr>
      </w:pPr>
      <w:r w:rsidRPr="00D5215A">
        <w:rPr>
          <w:rFonts w:ascii="Titillium" w:hAnsi="Titillium"/>
          <w:sz w:val="20"/>
          <w:szCs w:val="20"/>
        </w:rPr>
        <w:t xml:space="preserve">u slučaju preuzimanje izvršenja dijela ugovora o javnoj nabavi koji je prethodno dao u podugovor, ako se ugovaratelj u postupku javne nabave radi dokazivanja ispunjenja kriterija za odabir gospodarskog subjekta oslonio na sposobnost </w:t>
      </w:r>
      <w:proofErr w:type="spellStart"/>
      <w:r w:rsidRPr="00D5215A">
        <w:rPr>
          <w:rFonts w:ascii="Titillium" w:hAnsi="Titillium"/>
          <w:sz w:val="20"/>
          <w:szCs w:val="20"/>
        </w:rPr>
        <w:t>podugovaratelja</w:t>
      </w:r>
      <w:proofErr w:type="spellEnd"/>
      <w:r w:rsidRPr="00D5215A">
        <w:rPr>
          <w:rFonts w:ascii="Titillium" w:hAnsi="Titillium"/>
          <w:sz w:val="20"/>
          <w:szCs w:val="20"/>
        </w:rPr>
        <w:t xml:space="preserve"> za izvršenje tog dijela, a ugovaratelj samostalno ne posjeduje takvu sposobnost, ili ako je taj dio ugovora već izvršen.</w:t>
      </w:r>
    </w:p>
    <w:p w14:paraId="74B69ADF" w14:textId="77777777" w:rsidR="00C46229" w:rsidRPr="00C46229" w:rsidRDefault="00C46229" w:rsidP="00D5215A">
      <w:pPr>
        <w:pStyle w:val="NoSpacing"/>
        <w:jc w:val="both"/>
        <w:rPr>
          <w:rFonts w:ascii="Titillium" w:hAnsi="Titillium"/>
          <w:sz w:val="20"/>
          <w:szCs w:val="20"/>
        </w:rPr>
      </w:pPr>
    </w:p>
    <w:p w14:paraId="1C606083" w14:textId="77777777" w:rsidR="00273C29" w:rsidRDefault="00C46229" w:rsidP="00D5215A">
      <w:pPr>
        <w:pStyle w:val="NoSpacing"/>
        <w:jc w:val="both"/>
        <w:rPr>
          <w:rFonts w:ascii="Titillium" w:hAnsi="Titillium"/>
          <w:sz w:val="20"/>
          <w:szCs w:val="20"/>
        </w:rPr>
      </w:pPr>
      <w:r w:rsidRPr="00C46229">
        <w:rPr>
          <w:rFonts w:ascii="Titillium" w:hAnsi="Titillium"/>
          <w:sz w:val="20"/>
          <w:szCs w:val="20"/>
        </w:rPr>
        <w:t xml:space="preserve">Ako se ponuditelj oslanja na sposobnost </w:t>
      </w:r>
      <w:proofErr w:type="spellStart"/>
      <w:r w:rsidRPr="00C46229">
        <w:rPr>
          <w:rFonts w:ascii="Titillium" w:hAnsi="Titillium"/>
          <w:sz w:val="20"/>
          <w:szCs w:val="20"/>
        </w:rPr>
        <w:t>podugovaratelja</w:t>
      </w:r>
      <w:proofErr w:type="spellEnd"/>
      <w:r w:rsidRPr="00C46229">
        <w:rPr>
          <w:rFonts w:ascii="Titillium" w:hAnsi="Titillium"/>
          <w:sz w:val="20"/>
          <w:szCs w:val="20"/>
        </w:rPr>
        <w:t xml:space="preserve"> radi dokazivanja ispunjavanja kriterija ekonomske i financijske sposobnosti, </w:t>
      </w:r>
      <w:proofErr w:type="spellStart"/>
      <w:r w:rsidRPr="00C46229">
        <w:rPr>
          <w:rFonts w:ascii="Titillium" w:hAnsi="Titillium"/>
          <w:sz w:val="20"/>
          <w:szCs w:val="20"/>
        </w:rPr>
        <w:t>podugovaratelji</w:t>
      </w:r>
      <w:proofErr w:type="spellEnd"/>
      <w:r w:rsidRPr="00C46229">
        <w:rPr>
          <w:rFonts w:ascii="Titillium" w:hAnsi="Titillium"/>
          <w:sz w:val="20"/>
          <w:szCs w:val="20"/>
        </w:rPr>
        <w:t xml:space="preserve"> su solidarno odgovorni za izvršenje ugovora. Navedena odredba će biti sastavni dio ugovora o javnoj nabavi koji će sklopiti naručitelj s odabranim ponuditeljem.</w:t>
      </w:r>
    </w:p>
    <w:p w14:paraId="2750D783" w14:textId="1D096953" w:rsidR="0035327F" w:rsidRDefault="0035327F" w:rsidP="00273C29">
      <w:pPr>
        <w:pStyle w:val="NoSpacing"/>
        <w:rPr>
          <w:rFonts w:ascii="Titillium" w:hAnsi="Titillium"/>
          <w:sz w:val="20"/>
          <w:szCs w:val="20"/>
        </w:rPr>
      </w:pPr>
    </w:p>
    <w:p w14:paraId="237772F9" w14:textId="77777777" w:rsidR="00E360A0" w:rsidRDefault="00E360A0" w:rsidP="00273C29">
      <w:pPr>
        <w:pStyle w:val="NoSpacing"/>
        <w:rPr>
          <w:rFonts w:ascii="Titillium" w:hAnsi="Titillium"/>
          <w:sz w:val="20"/>
          <w:szCs w:val="20"/>
        </w:rPr>
      </w:pPr>
    </w:p>
    <w:p w14:paraId="31B7C82D" w14:textId="77777777" w:rsidR="001C08AC" w:rsidRDefault="001C08AC" w:rsidP="00273C29">
      <w:pPr>
        <w:pStyle w:val="NoSpacing"/>
        <w:rPr>
          <w:rFonts w:ascii="Titillium" w:hAnsi="Titillium"/>
          <w:sz w:val="20"/>
          <w:szCs w:val="20"/>
        </w:rPr>
      </w:pPr>
    </w:p>
    <w:p w14:paraId="7DD73A8D" w14:textId="7287449B" w:rsidR="00CF6D34" w:rsidRPr="00CF6D34" w:rsidRDefault="00D5215A" w:rsidP="00273C29">
      <w:pPr>
        <w:pStyle w:val="NoSpacing"/>
        <w:rPr>
          <w:rFonts w:ascii="Titillium" w:hAnsi="Titillium"/>
          <w:b/>
          <w:sz w:val="20"/>
          <w:szCs w:val="20"/>
        </w:rPr>
      </w:pPr>
      <w:r w:rsidRPr="00D5215A">
        <w:rPr>
          <w:rFonts w:ascii="Titillium" w:hAnsi="Titillium"/>
          <w:b/>
          <w:sz w:val="20"/>
          <w:szCs w:val="20"/>
        </w:rPr>
        <w:t xml:space="preserve">7.12. </w:t>
      </w:r>
      <w:r>
        <w:rPr>
          <w:rFonts w:ascii="Titillium" w:hAnsi="Titillium"/>
          <w:b/>
          <w:sz w:val="20"/>
          <w:szCs w:val="20"/>
        </w:rPr>
        <w:tab/>
      </w:r>
      <w:r w:rsidRPr="00D5215A">
        <w:rPr>
          <w:rFonts w:ascii="Titillium" w:hAnsi="Titillium"/>
          <w:b/>
          <w:sz w:val="20"/>
          <w:szCs w:val="20"/>
        </w:rPr>
        <w:t>Jamstva</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7"/>
        <w:gridCol w:w="1985"/>
        <w:gridCol w:w="7200"/>
      </w:tblGrid>
      <w:tr w:rsidR="00D5215A" w:rsidRPr="00D5215A" w14:paraId="36E244B0" w14:textId="77777777" w:rsidTr="00283A6B">
        <w:trPr>
          <w:trHeight w:val="444"/>
        </w:trPr>
        <w:tc>
          <w:tcPr>
            <w:tcW w:w="1447" w:type="dxa"/>
            <w:shd w:val="clear" w:color="auto" w:fill="DEEAF6" w:themeFill="accent1" w:themeFillTint="33"/>
            <w:vAlign w:val="center"/>
          </w:tcPr>
          <w:p w14:paraId="21D2DE0A" w14:textId="77777777" w:rsidR="00D5215A" w:rsidRPr="00D5215A" w:rsidRDefault="00D5215A" w:rsidP="00D5215A">
            <w:pPr>
              <w:pStyle w:val="NoSpacing"/>
              <w:jc w:val="both"/>
              <w:rPr>
                <w:rFonts w:ascii="Titillium" w:hAnsi="Titillium"/>
                <w:b/>
                <w:sz w:val="20"/>
                <w:szCs w:val="20"/>
                <w:lang w:val="en-US"/>
              </w:rPr>
            </w:pPr>
            <w:proofErr w:type="spellStart"/>
            <w:r w:rsidRPr="00D5215A">
              <w:rPr>
                <w:rFonts w:ascii="Titillium" w:hAnsi="Titillium"/>
                <w:b/>
                <w:sz w:val="20"/>
                <w:szCs w:val="20"/>
                <w:lang w:val="en-US"/>
              </w:rPr>
              <w:t>vrsta</w:t>
            </w:r>
            <w:proofErr w:type="spellEnd"/>
            <w:r w:rsidRPr="00D5215A">
              <w:rPr>
                <w:rFonts w:ascii="Titillium" w:hAnsi="Titillium"/>
                <w:b/>
                <w:sz w:val="20"/>
                <w:szCs w:val="20"/>
                <w:lang w:val="en-US"/>
              </w:rPr>
              <w:t xml:space="preserve"> </w:t>
            </w:r>
            <w:proofErr w:type="spellStart"/>
            <w:r w:rsidRPr="00D5215A">
              <w:rPr>
                <w:rFonts w:ascii="Titillium" w:hAnsi="Titillium"/>
                <w:b/>
                <w:sz w:val="20"/>
                <w:szCs w:val="20"/>
                <w:lang w:val="en-US"/>
              </w:rPr>
              <w:t>jamstva</w:t>
            </w:r>
            <w:proofErr w:type="spellEnd"/>
          </w:p>
        </w:tc>
        <w:tc>
          <w:tcPr>
            <w:tcW w:w="1985" w:type="dxa"/>
            <w:shd w:val="clear" w:color="auto" w:fill="DEEAF6" w:themeFill="accent1" w:themeFillTint="33"/>
            <w:vAlign w:val="center"/>
          </w:tcPr>
          <w:p w14:paraId="319CFC2D" w14:textId="77777777" w:rsidR="00D5215A" w:rsidRPr="00D5215A" w:rsidRDefault="00D5215A" w:rsidP="00D5215A">
            <w:pPr>
              <w:pStyle w:val="NoSpacing"/>
              <w:jc w:val="both"/>
              <w:rPr>
                <w:rFonts w:ascii="Titillium" w:hAnsi="Titillium"/>
                <w:b/>
                <w:sz w:val="20"/>
                <w:szCs w:val="20"/>
                <w:lang w:val="en-US"/>
              </w:rPr>
            </w:pPr>
            <w:proofErr w:type="spellStart"/>
            <w:r w:rsidRPr="00D5215A">
              <w:rPr>
                <w:rFonts w:ascii="Titillium" w:hAnsi="Titillium"/>
                <w:b/>
                <w:sz w:val="20"/>
                <w:szCs w:val="20"/>
                <w:lang w:val="en-US"/>
              </w:rPr>
              <w:t>oblik</w:t>
            </w:r>
            <w:proofErr w:type="spellEnd"/>
            <w:r w:rsidRPr="00D5215A">
              <w:rPr>
                <w:rFonts w:ascii="Titillium" w:hAnsi="Titillium"/>
                <w:b/>
                <w:sz w:val="20"/>
                <w:szCs w:val="20"/>
                <w:lang w:val="en-US"/>
              </w:rPr>
              <w:t xml:space="preserve"> </w:t>
            </w:r>
            <w:proofErr w:type="spellStart"/>
            <w:r w:rsidRPr="00D5215A">
              <w:rPr>
                <w:rFonts w:ascii="Titillium" w:hAnsi="Titillium"/>
                <w:b/>
                <w:sz w:val="20"/>
                <w:szCs w:val="20"/>
                <w:lang w:val="en-US"/>
              </w:rPr>
              <w:t>jamstva</w:t>
            </w:r>
            <w:proofErr w:type="spellEnd"/>
          </w:p>
        </w:tc>
        <w:tc>
          <w:tcPr>
            <w:tcW w:w="7200" w:type="dxa"/>
            <w:shd w:val="clear" w:color="auto" w:fill="DEEAF6" w:themeFill="accent1" w:themeFillTint="33"/>
            <w:vAlign w:val="center"/>
          </w:tcPr>
          <w:p w14:paraId="6E831C51" w14:textId="77777777" w:rsidR="00D5215A" w:rsidRPr="00D5215A" w:rsidRDefault="00D5215A" w:rsidP="00D5215A">
            <w:pPr>
              <w:pStyle w:val="NoSpacing"/>
              <w:jc w:val="both"/>
              <w:rPr>
                <w:rFonts w:ascii="Titillium" w:hAnsi="Titillium"/>
                <w:b/>
                <w:sz w:val="20"/>
                <w:szCs w:val="20"/>
                <w:lang w:val="en-US"/>
              </w:rPr>
            </w:pPr>
            <w:proofErr w:type="spellStart"/>
            <w:r w:rsidRPr="00D5215A">
              <w:rPr>
                <w:rFonts w:ascii="Titillium" w:hAnsi="Titillium"/>
                <w:b/>
                <w:sz w:val="20"/>
                <w:szCs w:val="20"/>
                <w:lang w:val="en-US"/>
              </w:rPr>
              <w:t>uvjeti</w:t>
            </w:r>
            <w:proofErr w:type="spellEnd"/>
            <w:r w:rsidRPr="00D5215A">
              <w:rPr>
                <w:rFonts w:ascii="Titillium" w:hAnsi="Titillium"/>
                <w:b/>
                <w:sz w:val="20"/>
                <w:szCs w:val="20"/>
                <w:lang w:val="en-US"/>
              </w:rPr>
              <w:t xml:space="preserve"> </w:t>
            </w:r>
            <w:proofErr w:type="spellStart"/>
            <w:r w:rsidRPr="00D5215A">
              <w:rPr>
                <w:rFonts w:ascii="Titillium" w:hAnsi="Titillium"/>
                <w:b/>
                <w:sz w:val="20"/>
                <w:szCs w:val="20"/>
                <w:lang w:val="en-US"/>
              </w:rPr>
              <w:t>jamstva</w:t>
            </w:r>
            <w:proofErr w:type="spellEnd"/>
          </w:p>
        </w:tc>
      </w:tr>
      <w:tr w:rsidR="00D5215A" w:rsidRPr="00D5215A" w14:paraId="7401958A" w14:textId="77777777" w:rsidTr="00283A6B">
        <w:tc>
          <w:tcPr>
            <w:tcW w:w="1447" w:type="dxa"/>
          </w:tcPr>
          <w:p w14:paraId="2171F81E" w14:textId="77777777" w:rsidR="00D5215A" w:rsidRPr="00D5215A" w:rsidRDefault="00D5215A" w:rsidP="00D5215A">
            <w:pPr>
              <w:pStyle w:val="NoSpacing"/>
              <w:jc w:val="both"/>
              <w:rPr>
                <w:rFonts w:ascii="Titillium" w:hAnsi="Titillium"/>
                <w:sz w:val="20"/>
                <w:szCs w:val="20"/>
                <w:lang w:val="en-US"/>
              </w:rPr>
            </w:pPr>
            <w:r w:rsidRPr="00D5215A">
              <w:rPr>
                <w:rFonts w:ascii="Titillium" w:hAnsi="Titillium"/>
                <w:sz w:val="20"/>
                <w:szCs w:val="20"/>
                <w:lang w:val="en-US"/>
              </w:rPr>
              <w:t>JAMSTVO ZA OZBILJNOST PONUDE</w:t>
            </w:r>
          </w:p>
        </w:tc>
        <w:tc>
          <w:tcPr>
            <w:tcW w:w="1985" w:type="dxa"/>
          </w:tcPr>
          <w:p w14:paraId="2C486B1F" w14:textId="77777777" w:rsidR="00D5215A" w:rsidRPr="00D5215A" w:rsidRDefault="00D5215A" w:rsidP="00D5215A">
            <w:pPr>
              <w:pStyle w:val="NoSpacing"/>
              <w:jc w:val="both"/>
              <w:rPr>
                <w:rFonts w:ascii="Titillium" w:hAnsi="Titillium"/>
                <w:sz w:val="20"/>
                <w:szCs w:val="20"/>
              </w:rPr>
            </w:pPr>
            <w:r w:rsidRPr="00D5215A">
              <w:rPr>
                <w:rFonts w:ascii="Titillium" w:hAnsi="Titillium"/>
                <w:sz w:val="20"/>
                <w:szCs w:val="20"/>
              </w:rPr>
              <w:t xml:space="preserve">Ponuditelj je obvezan u ponudi priložiti jamstvo za ozbiljnost ponude u obliku </w:t>
            </w:r>
            <w:r w:rsidRPr="00D5215A">
              <w:rPr>
                <w:rFonts w:ascii="Titillium" w:hAnsi="Titillium"/>
                <w:b/>
                <w:sz w:val="20"/>
                <w:szCs w:val="20"/>
              </w:rPr>
              <w:t>bankarske garancije</w:t>
            </w:r>
            <w:r w:rsidRPr="00D5215A">
              <w:rPr>
                <w:rFonts w:ascii="Titillium" w:hAnsi="Titillium"/>
                <w:sz w:val="20"/>
                <w:szCs w:val="20"/>
              </w:rPr>
              <w:t xml:space="preserve"> sukladno članku 214. Zakona o obveznim odnosima</w:t>
            </w:r>
          </w:p>
        </w:tc>
        <w:tc>
          <w:tcPr>
            <w:tcW w:w="7200" w:type="dxa"/>
          </w:tcPr>
          <w:p w14:paraId="71423E07" w14:textId="77777777" w:rsidR="00D5215A" w:rsidRPr="00D5215A" w:rsidRDefault="00D5215A" w:rsidP="00D5215A">
            <w:pPr>
              <w:pStyle w:val="NoSpacing"/>
              <w:jc w:val="both"/>
              <w:rPr>
                <w:rFonts w:ascii="Titillium" w:hAnsi="Titillium"/>
                <w:sz w:val="20"/>
                <w:szCs w:val="20"/>
                <w:lang w:val="pl-PL"/>
              </w:rPr>
            </w:pPr>
            <w:r w:rsidRPr="00D5215A">
              <w:rPr>
                <w:rFonts w:ascii="Titillium" w:hAnsi="Titillium"/>
                <w:sz w:val="20"/>
                <w:szCs w:val="20"/>
                <w:lang w:val="pl-PL"/>
              </w:rPr>
              <w:t>U bankarskoj garanciji mora biti navedeno sljedeće:</w:t>
            </w:r>
          </w:p>
          <w:p w14:paraId="15529479" w14:textId="0B36398A" w:rsidR="00D5215A" w:rsidRPr="00D5215A" w:rsidRDefault="00DC169D" w:rsidP="00F77A9D">
            <w:pPr>
              <w:pStyle w:val="NoSpacing"/>
              <w:numPr>
                <w:ilvl w:val="0"/>
                <w:numId w:val="20"/>
              </w:numPr>
              <w:jc w:val="both"/>
              <w:rPr>
                <w:rFonts w:ascii="Titillium" w:hAnsi="Titillium"/>
                <w:sz w:val="20"/>
                <w:szCs w:val="20"/>
                <w:lang w:val="pl-PL"/>
              </w:rPr>
            </w:pPr>
            <w:bookmarkStart w:id="28" w:name="_Toc494274040"/>
            <w:bookmarkStart w:id="29" w:name="_Toc504410359"/>
            <w:r>
              <w:rPr>
                <w:rFonts w:ascii="Titillium" w:hAnsi="Titillium"/>
                <w:sz w:val="20"/>
                <w:szCs w:val="20"/>
                <w:lang w:val="pl-PL"/>
              </w:rPr>
              <w:t xml:space="preserve">da </w:t>
            </w:r>
            <w:r w:rsidR="00D5215A" w:rsidRPr="00D5215A">
              <w:rPr>
                <w:rFonts w:ascii="Titillium" w:hAnsi="Titillium"/>
                <w:sz w:val="20"/>
                <w:szCs w:val="20"/>
                <w:lang w:val="pl-PL"/>
              </w:rPr>
              <w:t xml:space="preserve">je korisnik garancije </w:t>
            </w:r>
            <w:bookmarkEnd w:id="28"/>
            <w:r w:rsidR="00D5215A" w:rsidRPr="00D5215A">
              <w:rPr>
                <w:rFonts w:ascii="Titillium" w:hAnsi="Titillium"/>
                <w:sz w:val="20"/>
                <w:szCs w:val="20"/>
              </w:rPr>
              <w:t>INSTITUT ZA MEDICINSKA ISTRAŽIVANJA I MEDICINU RADA,</w:t>
            </w:r>
            <w:bookmarkEnd w:id="29"/>
          </w:p>
          <w:p w14:paraId="1C16983D" w14:textId="44B2690E" w:rsidR="00D5215A" w:rsidRPr="00D5215A" w:rsidRDefault="00D5215A" w:rsidP="00F77A9D">
            <w:pPr>
              <w:pStyle w:val="NoSpacing"/>
              <w:numPr>
                <w:ilvl w:val="0"/>
                <w:numId w:val="20"/>
              </w:numPr>
              <w:jc w:val="both"/>
              <w:rPr>
                <w:rFonts w:ascii="Titillium" w:hAnsi="Titillium"/>
                <w:b/>
                <w:sz w:val="20"/>
                <w:szCs w:val="20"/>
                <w:lang w:val="pl-PL"/>
              </w:rPr>
            </w:pPr>
            <w:bookmarkStart w:id="30" w:name="_Toc504410360"/>
            <w:bookmarkStart w:id="31" w:name="_Toc494274041"/>
            <w:r w:rsidRPr="00D5215A">
              <w:rPr>
                <w:rFonts w:ascii="Titillium" w:hAnsi="Titillium"/>
                <w:b/>
                <w:sz w:val="20"/>
                <w:szCs w:val="20"/>
                <w:lang w:val="pl-PL"/>
              </w:rPr>
              <w:t xml:space="preserve">da se garant obvezuje bezuvjetno, neopozivo i na prvi pisani poziv korisnika garancije, </w:t>
            </w:r>
            <w:r w:rsidRPr="001A4DBC">
              <w:rPr>
                <w:rFonts w:ascii="Titillium" w:hAnsi="Titillium"/>
                <w:b/>
                <w:sz w:val="20"/>
                <w:szCs w:val="20"/>
                <w:lang w:val="pl-PL"/>
              </w:rPr>
              <w:t>bez prigovora isplatiti iznos od:</w:t>
            </w:r>
            <w:bookmarkEnd w:id="30"/>
            <w:r w:rsidRPr="001A4DBC">
              <w:rPr>
                <w:rFonts w:ascii="Titillium" w:hAnsi="Titillium"/>
                <w:b/>
                <w:sz w:val="20"/>
                <w:szCs w:val="20"/>
                <w:lang w:val="pl-PL"/>
              </w:rPr>
              <w:t xml:space="preserve"> </w:t>
            </w:r>
            <w:r w:rsidR="00FF19A5">
              <w:rPr>
                <w:rFonts w:ascii="Titillium" w:hAnsi="Titillium"/>
                <w:b/>
                <w:sz w:val="20"/>
                <w:szCs w:val="20"/>
                <w:lang w:val="pl-PL"/>
              </w:rPr>
              <w:t>6.0</w:t>
            </w:r>
            <w:r w:rsidR="001A4DBC" w:rsidRPr="001A4DBC">
              <w:rPr>
                <w:rFonts w:ascii="Titillium" w:hAnsi="Titillium"/>
                <w:b/>
                <w:sz w:val="20"/>
                <w:szCs w:val="20"/>
                <w:lang w:val="pl-PL"/>
              </w:rPr>
              <w:t>00</w:t>
            </w:r>
            <w:r w:rsidRPr="001A4DBC">
              <w:rPr>
                <w:rFonts w:ascii="Titillium" w:hAnsi="Titillium"/>
                <w:b/>
                <w:sz w:val="20"/>
                <w:szCs w:val="20"/>
                <w:lang w:val="pl-PL"/>
              </w:rPr>
              <w:t>,</w:t>
            </w:r>
            <w:r w:rsidR="001A4DBC" w:rsidRPr="001A4DBC">
              <w:rPr>
                <w:rFonts w:ascii="Titillium" w:hAnsi="Titillium"/>
                <w:b/>
                <w:sz w:val="20"/>
                <w:szCs w:val="20"/>
                <w:lang w:val="pl-PL"/>
              </w:rPr>
              <w:t>00</w:t>
            </w:r>
            <w:r w:rsidRPr="001A4DBC">
              <w:rPr>
                <w:rFonts w:ascii="Titillium" w:hAnsi="Titillium"/>
                <w:b/>
                <w:sz w:val="20"/>
                <w:szCs w:val="20"/>
                <w:lang w:val="pl-PL"/>
              </w:rPr>
              <w:t xml:space="preserve"> kn</w:t>
            </w:r>
          </w:p>
          <w:p w14:paraId="29DB0B11" w14:textId="77777777" w:rsidR="00D5215A" w:rsidRPr="00D5215A" w:rsidRDefault="00D5215A" w:rsidP="00F77A9D">
            <w:pPr>
              <w:pStyle w:val="NoSpacing"/>
              <w:numPr>
                <w:ilvl w:val="0"/>
                <w:numId w:val="21"/>
              </w:numPr>
              <w:jc w:val="both"/>
              <w:rPr>
                <w:rFonts w:ascii="Titillium" w:hAnsi="Titillium"/>
                <w:sz w:val="20"/>
                <w:szCs w:val="20"/>
                <w:lang w:val="pl-PL"/>
              </w:rPr>
            </w:pPr>
            <w:bookmarkStart w:id="32" w:name="_Toc504410370"/>
            <w:r w:rsidRPr="00D5215A">
              <w:rPr>
                <w:rFonts w:ascii="Titillium" w:hAnsi="Titillium"/>
                <w:sz w:val="20"/>
                <w:szCs w:val="20"/>
                <w:lang w:val="pl-PL"/>
              </w:rPr>
              <w:t>u slučaju odustajanja ponuditelja od svoje ponude u roku njezine valjanosti, nedostavljanja ažuriranih popratnih dokumenata sukladno članku 263. ZJN 2016, neprihvaćanja ispravka računske greške, odbijanja potpisivanja ugovora o javnoj nabavi i nedostavljanja jamstva za uredno ispunjenje ugovora.</w:t>
            </w:r>
            <w:bookmarkEnd w:id="31"/>
            <w:bookmarkEnd w:id="32"/>
          </w:p>
          <w:p w14:paraId="534459C6" w14:textId="77777777" w:rsidR="00D5215A" w:rsidRPr="00D5215A" w:rsidRDefault="00D5215A" w:rsidP="00D5215A">
            <w:pPr>
              <w:pStyle w:val="NoSpacing"/>
              <w:jc w:val="both"/>
              <w:rPr>
                <w:rFonts w:ascii="Titillium" w:hAnsi="Titillium"/>
                <w:sz w:val="20"/>
                <w:szCs w:val="20"/>
              </w:rPr>
            </w:pPr>
            <w:r w:rsidRPr="00D5215A">
              <w:rPr>
                <w:rFonts w:ascii="Titillium" w:hAnsi="Titillium"/>
                <w:sz w:val="20"/>
                <w:szCs w:val="20"/>
              </w:rPr>
              <w:t>Za naplatu jamstva za ozbiljnost ponude dovoljno je da se u odnosu na ponuditelja ostvari jedan (bilo koji) od prethodno navedenih uvjeta.</w:t>
            </w:r>
          </w:p>
          <w:p w14:paraId="0034EF87" w14:textId="12E2F8FB" w:rsidR="00D5215A" w:rsidRPr="00D5215A" w:rsidRDefault="00D5215A" w:rsidP="00D5215A">
            <w:pPr>
              <w:pStyle w:val="NoSpacing"/>
              <w:jc w:val="both"/>
              <w:rPr>
                <w:rFonts w:ascii="Titillium" w:hAnsi="Titillium"/>
                <w:sz w:val="20"/>
                <w:szCs w:val="20"/>
                <w:lang w:val="pl-PL"/>
              </w:rPr>
            </w:pPr>
            <w:r w:rsidRPr="00D5215A">
              <w:rPr>
                <w:rFonts w:ascii="Titillium" w:hAnsi="Titillium"/>
                <w:sz w:val="20"/>
                <w:szCs w:val="20"/>
                <w:lang w:val="pl-PL"/>
              </w:rPr>
              <w:t xml:space="preserve">Jamstvo za ozbiljnost ponude mora trajati minimalno sukladno </w:t>
            </w:r>
            <w:r w:rsidR="00957BDE">
              <w:rPr>
                <w:rFonts w:ascii="Titillium" w:hAnsi="Titillium"/>
                <w:sz w:val="20"/>
                <w:szCs w:val="20"/>
                <w:lang w:val="pl-PL"/>
              </w:rPr>
              <w:t xml:space="preserve">roku valjanosti ponude </w:t>
            </w:r>
            <w:r w:rsidR="00957BDE" w:rsidRPr="00D14499">
              <w:rPr>
                <w:rFonts w:ascii="Titillium" w:hAnsi="Titillium"/>
                <w:b/>
                <w:sz w:val="20"/>
                <w:szCs w:val="20"/>
                <w:lang w:val="pl-PL"/>
              </w:rPr>
              <w:t xml:space="preserve">do </w:t>
            </w:r>
            <w:r w:rsidR="00BC763E" w:rsidRPr="00D14499">
              <w:rPr>
                <w:rFonts w:ascii="Titillium" w:hAnsi="Titillium"/>
                <w:b/>
                <w:sz w:val="20"/>
                <w:szCs w:val="20"/>
                <w:lang w:val="pl-PL"/>
              </w:rPr>
              <w:t xml:space="preserve">uključivo </w:t>
            </w:r>
            <w:r w:rsidR="00D14499">
              <w:rPr>
                <w:rFonts w:ascii="Titillium" w:hAnsi="Titillium"/>
                <w:b/>
                <w:sz w:val="20"/>
                <w:szCs w:val="20"/>
                <w:lang w:val="pl-PL"/>
              </w:rPr>
              <w:t>________</w:t>
            </w:r>
            <w:r w:rsidR="00957BDE" w:rsidRPr="00D14499">
              <w:rPr>
                <w:rFonts w:ascii="Titillium" w:hAnsi="Titillium"/>
                <w:b/>
                <w:sz w:val="20"/>
                <w:szCs w:val="20"/>
                <w:lang w:val="pl-PL"/>
              </w:rPr>
              <w:t>2018. godine</w:t>
            </w:r>
            <w:r w:rsidRPr="00D14499">
              <w:rPr>
                <w:rFonts w:ascii="Titillium" w:hAnsi="Titillium"/>
                <w:b/>
                <w:sz w:val="20"/>
                <w:szCs w:val="20"/>
                <w:lang w:val="pl-PL"/>
              </w:rPr>
              <w:t>.</w:t>
            </w:r>
            <w:r w:rsidRPr="00D5215A">
              <w:rPr>
                <w:rFonts w:ascii="Titillium" w:hAnsi="Titillium"/>
                <w:sz w:val="20"/>
                <w:szCs w:val="20"/>
                <w:lang w:val="pl-PL"/>
              </w:rPr>
              <w:t xml:space="preserve"> Gospodarski subjekt može dostaviti jamstvo koje je duže od roka valjanosti ponude. Ako istekne rok valjanosti ponude, </w:t>
            </w:r>
            <w:r w:rsidRPr="00D5215A">
              <w:rPr>
                <w:rFonts w:ascii="Titillium" w:hAnsi="Titillium"/>
                <w:iCs/>
                <w:sz w:val="20"/>
                <w:szCs w:val="20"/>
                <w:lang w:val="pl-PL"/>
              </w:rPr>
              <w:t xml:space="preserve">naručitelj </w:t>
            </w:r>
            <w:r w:rsidRPr="00D5215A">
              <w:rPr>
                <w:rFonts w:ascii="Titillium" w:hAnsi="Titillium"/>
                <w:sz w:val="20"/>
                <w:szCs w:val="20"/>
                <w:lang w:val="pl-PL"/>
              </w:rPr>
              <w:t xml:space="preserve">će tražiti od ponuditelja produženje roka valjanosti ponude i jamstva za ozbiljnost ponude sukladno tom produženom roku. </w:t>
            </w:r>
          </w:p>
          <w:p w14:paraId="69035643" w14:textId="7211D842" w:rsidR="00D5215A" w:rsidRPr="00D5215A" w:rsidRDefault="00D5215A" w:rsidP="00D5215A">
            <w:pPr>
              <w:pStyle w:val="NoSpacing"/>
              <w:jc w:val="both"/>
              <w:rPr>
                <w:rFonts w:ascii="Titillium" w:hAnsi="Titillium"/>
                <w:sz w:val="20"/>
                <w:szCs w:val="20"/>
                <w:lang w:val="pl-PL"/>
              </w:rPr>
            </w:pPr>
            <w:r w:rsidRPr="00D5215A">
              <w:rPr>
                <w:rFonts w:ascii="Titillium" w:hAnsi="Titillium"/>
                <w:sz w:val="20"/>
                <w:szCs w:val="20"/>
                <w:lang w:val="pl-PL"/>
              </w:rPr>
              <w:t>Jamstvo za ozbiljnost ponude dostavlja se u izvorniku. Izvornik ne smije biti ni na koji način ošteće</w:t>
            </w:r>
            <w:r w:rsidR="00CF6D34">
              <w:rPr>
                <w:rFonts w:ascii="Titillium" w:hAnsi="Titillium"/>
                <w:sz w:val="20"/>
                <w:szCs w:val="20"/>
                <w:lang w:val="pl-PL"/>
              </w:rPr>
              <w:t xml:space="preserve">n (bušenjem, klamanjem i sl.). </w:t>
            </w:r>
            <w:r w:rsidRPr="00D5215A">
              <w:rPr>
                <w:rFonts w:ascii="Titillium" w:hAnsi="Titillium"/>
                <w:sz w:val="20"/>
                <w:szCs w:val="20"/>
                <w:lang w:val="pl-PL"/>
              </w:rPr>
              <w:t xml:space="preserve">Izvornik jamstva za ozbiljnost ponude dostavlja se odvojeno od elektroničke dostave ponude, u papirnatom obliku, poštom ili dostavom u zatvorenoj omotnici na kojoj su navedeni podaci sukladno ovoj Dokumentaciji o nabavi. </w:t>
            </w:r>
          </w:p>
          <w:p w14:paraId="40113FFE" w14:textId="0D645AE6" w:rsidR="00D5215A" w:rsidRPr="00D5215A" w:rsidRDefault="00D5215A" w:rsidP="00D5215A">
            <w:pPr>
              <w:pStyle w:val="NoSpacing"/>
              <w:jc w:val="both"/>
              <w:rPr>
                <w:rFonts w:ascii="Titillium" w:hAnsi="Titillium"/>
                <w:sz w:val="20"/>
                <w:szCs w:val="20"/>
                <w:lang w:val="pl-PL"/>
              </w:rPr>
            </w:pPr>
            <w:r w:rsidRPr="00D5215A">
              <w:rPr>
                <w:rFonts w:ascii="Titillium" w:hAnsi="Titillium"/>
                <w:iCs/>
                <w:sz w:val="20"/>
                <w:szCs w:val="20"/>
                <w:lang w:val="pl-PL"/>
              </w:rPr>
              <w:t xml:space="preserve">Naručitelj je </w:t>
            </w:r>
            <w:r w:rsidR="00240708" w:rsidRPr="00D5215A">
              <w:rPr>
                <w:rFonts w:ascii="Titillium" w:hAnsi="Titillium"/>
                <w:sz w:val="20"/>
                <w:szCs w:val="20"/>
                <w:lang w:val="pl-PL"/>
              </w:rPr>
              <w:t>obvezan vratiti</w:t>
            </w:r>
            <w:r w:rsidRPr="00D5215A">
              <w:rPr>
                <w:rFonts w:ascii="Titillium" w:hAnsi="Titillium"/>
                <w:sz w:val="20"/>
                <w:szCs w:val="20"/>
                <w:lang w:val="pl-PL"/>
              </w:rPr>
              <w:t xml:space="preserve"> ponuditeljima jamstvo za ozbiljnost ponude u roku od deset dana od dana potpisivanja ugovora i dostave jamstva za uredno ispunjenje ugovora.</w:t>
            </w:r>
          </w:p>
          <w:p w14:paraId="70D0C0E6" w14:textId="6FAE5C15" w:rsidR="00D5215A" w:rsidRPr="00D5215A" w:rsidRDefault="00D5215A" w:rsidP="00D5215A">
            <w:pPr>
              <w:pStyle w:val="NoSpacing"/>
              <w:jc w:val="both"/>
              <w:rPr>
                <w:rFonts w:ascii="Titillium" w:hAnsi="Titillium"/>
                <w:b/>
                <w:sz w:val="20"/>
                <w:szCs w:val="20"/>
                <w:u w:val="single"/>
                <w:lang w:val="pl-PL"/>
              </w:rPr>
            </w:pPr>
            <w:r w:rsidRPr="00D5215A">
              <w:rPr>
                <w:rFonts w:ascii="Titillium" w:hAnsi="Titillium"/>
                <w:sz w:val="20"/>
                <w:szCs w:val="20"/>
                <w:lang w:val="pl-PL"/>
              </w:rPr>
              <w:t xml:space="preserve">Ponuditelj može umjesto dostavljanja bankarske garancije dati novčani polog u traženom iznosu. Polog se u odgovarajućem iznosu uplaćuje u korist računa Naručitelja, broj: </w:t>
            </w:r>
            <w:r w:rsidRPr="00D5215A">
              <w:rPr>
                <w:rFonts w:ascii="Titillium" w:hAnsi="Titillium"/>
                <w:b/>
                <w:bCs/>
                <w:sz w:val="20"/>
                <w:szCs w:val="20"/>
              </w:rPr>
              <w:t>HR</w:t>
            </w:r>
            <w:r w:rsidRPr="00D5215A">
              <w:rPr>
                <w:rFonts w:ascii="Titillium" w:hAnsi="Titillium"/>
                <w:b/>
                <w:sz w:val="20"/>
                <w:szCs w:val="20"/>
              </w:rPr>
              <w:t>69 23600001101214035</w:t>
            </w:r>
            <w:r w:rsidR="00CF5C0D">
              <w:rPr>
                <w:rFonts w:ascii="Titillium" w:hAnsi="Titillium"/>
                <w:b/>
                <w:sz w:val="20"/>
                <w:szCs w:val="20"/>
                <w:lang w:val="pl-PL"/>
              </w:rPr>
              <w:t xml:space="preserve"> </w:t>
            </w:r>
            <w:r w:rsidRPr="00CF5C0D">
              <w:rPr>
                <w:rFonts w:ascii="Titillium" w:hAnsi="Titillium"/>
                <w:bCs/>
                <w:sz w:val="20"/>
                <w:szCs w:val="20"/>
              </w:rPr>
              <w:t xml:space="preserve">-OIB </w:t>
            </w:r>
            <w:r w:rsidRPr="00CF5C0D">
              <w:rPr>
                <w:rFonts w:ascii="Titillium" w:hAnsi="Titillium"/>
                <w:sz w:val="20"/>
                <w:szCs w:val="20"/>
                <w:lang w:val="pl-PL"/>
              </w:rPr>
              <w:t>ponuditelja, svrha plaćanja: jamstvo za ozbiljnost ponude</w:t>
            </w:r>
            <w:r w:rsidRPr="00CF5C0D">
              <w:rPr>
                <w:rFonts w:ascii="Titillium" w:hAnsi="Titillium"/>
                <w:b/>
                <w:sz w:val="20"/>
                <w:szCs w:val="20"/>
                <w:lang w:val="pl-PL"/>
              </w:rPr>
              <w:t xml:space="preserve">: </w:t>
            </w:r>
            <w:r w:rsidR="00EA0CCE">
              <w:rPr>
                <w:rFonts w:ascii="Titillium" w:hAnsi="Titillium"/>
                <w:b/>
                <w:sz w:val="20"/>
                <w:szCs w:val="20"/>
                <w:lang w:val="pl-PL"/>
              </w:rPr>
              <w:t>JN-OP-</w:t>
            </w:r>
            <w:r w:rsidR="000972CC">
              <w:rPr>
                <w:rFonts w:ascii="Titillium" w:hAnsi="Titillium"/>
                <w:b/>
                <w:sz w:val="20"/>
                <w:szCs w:val="20"/>
                <w:lang w:val="pl-PL"/>
              </w:rPr>
              <w:t>VV-</w:t>
            </w:r>
            <w:r w:rsidR="00EA0CCE">
              <w:rPr>
                <w:rFonts w:ascii="Titillium" w:hAnsi="Titillium"/>
                <w:b/>
                <w:sz w:val="20"/>
                <w:szCs w:val="20"/>
                <w:lang w:val="pl-PL"/>
              </w:rPr>
              <w:t>02</w:t>
            </w:r>
            <w:r w:rsidRPr="00D5215A">
              <w:rPr>
                <w:rFonts w:ascii="Titillium" w:hAnsi="Titillium"/>
                <w:b/>
                <w:sz w:val="20"/>
                <w:szCs w:val="20"/>
                <w:lang w:val="pl-PL"/>
              </w:rPr>
              <w:t xml:space="preserve">/18. </w:t>
            </w:r>
            <w:r w:rsidRPr="00D5215A">
              <w:rPr>
                <w:rFonts w:ascii="Titillium" w:hAnsi="Titillium"/>
                <w:b/>
                <w:sz w:val="20"/>
                <w:szCs w:val="20"/>
                <w:u w:val="single"/>
                <w:lang w:val="pl-PL"/>
              </w:rPr>
              <w:t>Dokaz o uplati novčanog pologa ponudi</w:t>
            </w:r>
            <w:r w:rsidR="003D76F5">
              <w:rPr>
                <w:rFonts w:ascii="Titillium" w:hAnsi="Titillium"/>
                <w:b/>
                <w:sz w:val="20"/>
                <w:szCs w:val="20"/>
                <w:u w:val="single"/>
                <w:lang w:val="pl-PL"/>
              </w:rPr>
              <w:t>telj je dužan priložiti u ponudi</w:t>
            </w:r>
            <w:r w:rsidRPr="00D5215A">
              <w:rPr>
                <w:rFonts w:ascii="Titillium" w:hAnsi="Titillium"/>
                <w:b/>
                <w:sz w:val="20"/>
                <w:szCs w:val="20"/>
                <w:u w:val="single"/>
                <w:lang w:val="pl-PL"/>
              </w:rPr>
              <w:t>.</w:t>
            </w:r>
          </w:p>
          <w:p w14:paraId="1385184A" w14:textId="77777777" w:rsidR="00D5215A" w:rsidRPr="00D5215A" w:rsidRDefault="00D5215A" w:rsidP="00D5215A">
            <w:pPr>
              <w:pStyle w:val="NoSpacing"/>
              <w:jc w:val="both"/>
              <w:rPr>
                <w:rFonts w:ascii="Titillium" w:hAnsi="Titillium"/>
                <w:sz w:val="20"/>
                <w:szCs w:val="20"/>
                <w:lang w:val="pl-PL"/>
              </w:rPr>
            </w:pPr>
            <w:r w:rsidRPr="00D5215A">
              <w:rPr>
                <w:rFonts w:ascii="Titillium" w:hAnsi="Titillium"/>
                <w:sz w:val="20"/>
                <w:szCs w:val="20"/>
              </w:rPr>
              <w:t>U slučaju zajednice gospodarskih subjekata, iz jamstva mora biti razvidno da se jamstvo  izdaje u ime zajednice ponuditelja.</w:t>
            </w:r>
          </w:p>
        </w:tc>
      </w:tr>
      <w:tr w:rsidR="00D5215A" w:rsidRPr="00D5215A" w14:paraId="3A6CEFBE" w14:textId="77777777" w:rsidTr="00283A6B">
        <w:tc>
          <w:tcPr>
            <w:tcW w:w="1447" w:type="dxa"/>
          </w:tcPr>
          <w:p w14:paraId="7BD2B3FC" w14:textId="77777777" w:rsidR="00D5215A" w:rsidRPr="00D5215A" w:rsidRDefault="00D5215A" w:rsidP="00D5215A">
            <w:pPr>
              <w:pStyle w:val="NoSpacing"/>
              <w:jc w:val="both"/>
              <w:rPr>
                <w:rFonts w:ascii="Titillium" w:hAnsi="Titillium"/>
                <w:sz w:val="20"/>
                <w:szCs w:val="20"/>
              </w:rPr>
            </w:pPr>
            <w:r w:rsidRPr="00D5215A">
              <w:rPr>
                <w:rFonts w:ascii="Titillium" w:hAnsi="Titillium"/>
                <w:sz w:val="20"/>
                <w:szCs w:val="20"/>
              </w:rPr>
              <w:t>JAMSTVO ZA UREDNO ISPUNJENJE UGOVORA</w:t>
            </w:r>
          </w:p>
          <w:p w14:paraId="5D4FB744" w14:textId="0407362F" w:rsidR="00D5215A" w:rsidRPr="00D5215A" w:rsidRDefault="00D5215A" w:rsidP="00D5215A">
            <w:pPr>
              <w:pStyle w:val="NoSpacing"/>
              <w:jc w:val="both"/>
              <w:rPr>
                <w:rFonts w:ascii="Titillium" w:hAnsi="Titillium"/>
                <w:b/>
                <w:sz w:val="20"/>
                <w:szCs w:val="20"/>
              </w:rPr>
            </w:pPr>
          </w:p>
        </w:tc>
        <w:tc>
          <w:tcPr>
            <w:tcW w:w="1985" w:type="dxa"/>
          </w:tcPr>
          <w:p w14:paraId="56369B1F" w14:textId="6AA5A7CA" w:rsidR="00D5215A" w:rsidRPr="00D5215A" w:rsidRDefault="00D5215A" w:rsidP="00283A6B">
            <w:pPr>
              <w:pStyle w:val="NoSpacing"/>
              <w:jc w:val="both"/>
              <w:rPr>
                <w:rFonts w:ascii="Titillium" w:hAnsi="Titillium"/>
                <w:sz w:val="20"/>
                <w:szCs w:val="20"/>
              </w:rPr>
            </w:pPr>
            <w:r w:rsidRPr="00D5215A">
              <w:rPr>
                <w:rFonts w:ascii="Titillium" w:hAnsi="Titillium"/>
                <w:sz w:val="20"/>
                <w:szCs w:val="20"/>
              </w:rPr>
              <w:t xml:space="preserve">Bezuvjetna garancija banke naplativa od banke na prvi poziv, bez prava prigovora, na iznos koji pokriva visinu od </w:t>
            </w:r>
            <w:r w:rsidR="00F17CD5">
              <w:rPr>
                <w:rFonts w:ascii="Titillium" w:hAnsi="Titillium"/>
                <w:b/>
                <w:sz w:val="20"/>
                <w:szCs w:val="20"/>
              </w:rPr>
              <w:t xml:space="preserve">10% (slovima: </w:t>
            </w:r>
            <w:proofErr w:type="spellStart"/>
            <w:r w:rsidRPr="00D5215A">
              <w:rPr>
                <w:rFonts w:ascii="Titillium" w:hAnsi="Titillium"/>
                <w:b/>
                <w:sz w:val="20"/>
                <w:szCs w:val="20"/>
              </w:rPr>
              <w:t>desetposto</w:t>
            </w:r>
            <w:proofErr w:type="spellEnd"/>
            <w:r w:rsidRPr="00D5215A">
              <w:rPr>
                <w:rFonts w:ascii="Titillium" w:hAnsi="Titillium"/>
                <w:b/>
                <w:sz w:val="20"/>
                <w:szCs w:val="20"/>
              </w:rPr>
              <w:t xml:space="preserve">) </w:t>
            </w:r>
            <w:r w:rsidRPr="00D5215A">
              <w:rPr>
                <w:rFonts w:ascii="Titillium" w:hAnsi="Titillium"/>
                <w:sz w:val="20"/>
                <w:szCs w:val="20"/>
              </w:rPr>
              <w:t>vrijednosti Ugovora (bez PDV-a)</w:t>
            </w:r>
          </w:p>
        </w:tc>
        <w:tc>
          <w:tcPr>
            <w:tcW w:w="7200" w:type="dxa"/>
          </w:tcPr>
          <w:p w14:paraId="07E9D1ED" w14:textId="22592AFC" w:rsidR="00D5215A" w:rsidRPr="00ED605A" w:rsidRDefault="00B627F0" w:rsidP="00D5215A">
            <w:pPr>
              <w:pStyle w:val="NoSpacing"/>
              <w:jc w:val="both"/>
              <w:rPr>
                <w:rFonts w:ascii="Titillium" w:hAnsi="Titillium"/>
                <w:bCs/>
                <w:sz w:val="20"/>
                <w:szCs w:val="20"/>
              </w:rPr>
            </w:pPr>
            <w:r w:rsidRPr="0042764A">
              <w:rPr>
                <w:rFonts w:ascii="Calibri Light" w:hAnsi="Calibri Light"/>
                <w:bCs/>
              </w:rPr>
              <w:t>Odabrani ponuditelj obvezan je unutar deset (10) radnih d</w:t>
            </w:r>
            <w:r>
              <w:rPr>
                <w:rFonts w:ascii="Calibri Light" w:hAnsi="Calibri Light"/>
                <w:bCs/>
              </w:rPr>
              <w:t>ana od dana potpisivanja Ugovora</w:t>
            </w:r>
            <w:r w:rsidR="00D5215A" w:rsidRPr="00D5215A">
              <w:rPr>
                <w:rFonts w:ascii="Titillium" w:hAnsi="Titillium"/>
                <w:bCs/>
                <w:sz w:val="20"/>
                <w:szCs w:val="20"/>
              </w:rPr>
              <w:t xml:space="preserve"> dostaviti jamstvo za uredno ispunjenje ugovora u obliku bankarske garancije na iznos od 10% vrijednosti ugovora bez PDV-a i s klauzulom plativo na prvi pisani poziv korisnika garancije i bez prava prigovora, </w:t>
            </w:r>
            <w:r w:rsidR="00D5215A" w:rsidRPr="00ED605A">
              <w:rPr>
                <w:rFonts w:ascii="Titillium" w:hAnsi="Titillium"/>
                <w:bCs/>
                <w:sz w:val="20"/>
                <w:szCs w:val="20"/>
              </w:rPr>
              <w:t>s rokom važenja sve dok traju ugovorne obveze</w:t>
            </w:r>
            <w:r>
              <w:rPr>
                <w:rFonts w:ascii="Titillium" w:hAnsi="Titillium"/>
                <w:bCs/>
                <w:sz w:val="20"/>
                <w:szCs w:val="20"/>
              </w:rPr>
              <w:t>.</w:t>
            </w:r>
            <w:r w:rsidR="00D5215A" w:rsidRPr="00ED605A">
              <w:rPr>
                <w:rFonts w:ascii="Titillium" w:hAnsi="Titillium"/>
                <w:bCs/>
                <w:sz w:val="20"/>
                <w:szCs w:val="20"/>
              </w:rPr>
              <w:t xml:space="preserve"> </w:t>
            </w:r>
          </w:p>
          <w:p w14:paraId="30272686" w14:textId="77777777" w:rsidR="00D5215A" w:rsidRDefault="00D5215A" w:rsidP="00D5215A">
            <w:pPr>
              <w:pStyle w:val="NoSpacing"/>
              <w:jc w:val="both"/>
              <w:rPr>
                <w:rFonts w:ascii="Titillium" w:hAnsi="Titillium"/>
                <w:bCs/>
                <w:sz w:val="20"/>
                <w:szCs w:val="20"/>
              </w:rPr>
            </w:pPr>
            <w:r w:rsidRPr="00D5215A">
              <w:rPr>
                <w:rFonts w:ascii="Titillium" w:hAnsi="Titillium"/>
                <w:bCs/>
                <w:sz w:val="20"/>
                <w:szCs w:val="20"/>
              </w:rPr>
              <w:t xml:space="preserve">Ukoliko odabrani ponuditelj u ugovorenom roku ne dostavi Naručitelju bankovno jamstvo za uredno ispunjenje ugovora za slučaj povrede ugovornih obveza, Naručitelj će aktivirati jamstvo za ozbiljnost ponude. </w:t>
            </w:r>
            <w:r w:rsidR="001A4DBC" w:rsidRPr="001A4DBC">
              <w:rPr>
                <w:rFonts w:ascii="Titillium" w:hAnsi="Titillium"/>
                <w:bCs/>
                <w:sz w:val="20"/>
                <w:szCs w:val="20"/>
              </w:rPr>
              <w:t>Ponuditelj je jamstvo za uredno ispunjenje ugovora obvezan produžiti u slučaju da mu naručitelj odobri produljenje roka, odnosno prihvati nužno produljenje roka kao gotovu činjenicu, za onoliko vremena koliko je odobreno ili prihvaćeno produljenje roka.  Jamstvo za uredno ispunjenje ugovora aktivirat će se u slučaju da odabrani ponuditelj povrijedi ugovorne obveze.</w:t>
            </w:r>
          </w:p>
          <w:p w14:paraId="66648C72" w14:textId="60300F8F" w:rsidR="00D5215A" w:rsidRPr="00D5215A" w:rsidRDefault="00D5215A" w:rsidP="00D5215A">
            <w:pPr>
              <w:pStyle w:val="NoSpacing"/>
              <w:jc w:val="both"/>
              <w:rPr>
                <w:rFonts w:ascii="Titillium" w:hAnsi="Titillium"/>
                <w:sz w:val="20"/>
                <w:szCs w:val="20"/>
              </w:rPr>
            </w:pPr>
            <w:r w:rsidRPr="00D5215A">
              <w:rPr>
                <w:rFonts w:ascii="Titillium" w:hAnsi="Titillium"/>
                <w:sz w:val="20"/>
                <w:szCs w:val="20"/>
              </w:rPr>
              <w:t>Sukladno članku 214. stavku 4. ZJN 2016 neovisno o sredstvu jamstva koje je javni naručitelj odredio, gospodarski subjekt može dati novčani polog u traženom iznosu.</w:t>
            </w:r>
          </w:p>
        </w:tc>
      </w:tr>
    </w:tbl>
    <w:p w14:paraId="00362F4F" w14:textId="77777777" w:rsidR="00D5215A" w:rsidRDefault="00D5215A" w:rsidP="00273C29">
      <w:pPr>
        <w:pStyle w:val="NoSpacing"/>
        <w:rPr>
          <w:rFonts w:ascii="Titillium" w:hAnsi="Titillium"/>
          <w:sz w:val="20"/>
          <w:szCs w:val="20"/>
        </w:rPr>
      </w:pPr>
    </w:p>
    <w:p w14:paraId="39C190AA" w14:textId="77777777" w:rsidR="00D5215A" w:rsidRDefault="00D5215A" w:rsidP="001A4DBC">
      <w:pPr>
        <w:pStyle w:val="NoSpacing"/>
        <w:jc w:val="both"/>
        <w:rPr>
          <w:rFonts w:ascii="Titillium" w:hAnsi="Titillium"/>
          <w:b/>
          <w:sz w:val="20"/>
          <w:szCs w:val="20"/>
        </w:rPr>
      </w:pPr>
      <w:r w:rsidRPr="00D5215A">
        <w:rPr>
          <w:rFonts w:ascii="Titillium" w:hAnsi="Titillium"/>
          <w:b/>
          <w:sz w:val="20"/>
          <w:szCs w:val="20"/>
        </w:rPr>
        <w:t xml:space="preserve">7.13. </w:t>
      </w:r>
      <w:r w:rsidRPr="00D5215A">
        <w:rPr>
          <w:rFonts w:ascii="Titillium" w:hAnsi="Titillium"/>
          <w:b/>
          <w:sz w:val="20"/>
          <w:szCs w:val="20"/>
        </w:rPr>
        <w:tab/>
        <w:t>Datum, vrijeme i mjesto (javnog) otvaranja ponuda</w:t>
      </w:r>
    </w:p>
    <w:p w14:paraId="3F7F3A3B" w14:textId="1BFD6E69" w:rsidR="00840EAD" w:rsidRPr="004A2F33" w:rsidRDefault="00840EAD" w:rsidP="00840EAD">
      <w:pPr>
        <w:pStyle w:val="Header"/>
        <w:jc w:val="both"/>
        <w:rPr>
          <w:rFonts w:ascii="Titillium" w:hAnsi="Titillium"/>
          <w:sz w:val="20"/>
          <w:szCs w:val="20"/>
          <w:highlight w:val="yellow"/>
        </w:rPr>
      </w:pPr>
      <w:r w:rsidRPr="00937C10">
        <w:rPr>
          <w:rFonts w:ascii="Titillium" w:hAnsi="Titillium" w:cs="Arial"/>
          <w:sz w:val="20"/>
          <w:szCs w:val="20"/>
        </w:rPr>
        <w:t xml:space="preserve">Rok za dostavu ponuda je </w:t>
      </w:r>
      <w:r w:rsidRPr="00B627F0">
        <w:rPr>
          <w:rFonts w:ascii="Titillium" w:hAnsi="Titillium" w:cs="Arial"/>
          <w:sz w:val="20"/>
          <w:szCs w:val="20"/>
        </w:rPr>
        <w:t>najkasnije</w:t>
      </w:r>
      <w:r w:rsidR="00D14499">
        <w:rPr>
          <w:rFonts w:ascii="Titillium" w:hAnsi="Titillium" w:cs="Arial"/>
          <w:b/>
          <w:sz w:val="20"/>
          <w:szCs w:val="20"/>
        </w:rPr>
        <w:t>____</w:t>
      </w:r>
      <w:r w:rsidR="00395A34" w:rsidRPr="00EE2A85">
        <w:rPr>
          <w:rFonts w:ascii="Titillium" w:hAnsi="Titillium" w:cs="Arial"/>
          <w:b/>
          <w:sz w:val="20"/>
          <w:szCs w:val="20"/>
        </w:rPr>
        <w:t xml:space="preserve"> do </w:t>
      </w:r>
      <w:r w:rsidR="00D14499">
        <w:rPr>
          <w:rFonts w:ascii="Titillium" w:hAnsi="Titillium" w:cs="Arial"/>
          <w:b/>
          <w:sz w:val="20"/>
          <w:szCs w:val="20"/>
        </w:rPr>
        <w:t>___</w:t>
      </w:r>
      <w:r w:rsidR="00395A34" w:rsidRPr="00EE2A85">
        <w:rPr>
          <w:rFonts w:ascii="Titillium" w:hAnsi="Titillium" w:cs="Arial"/>
          <w:b/>
          <w:sz w:val="20"/>
          <w:szCs w:val="20"/>
        </w:rPr>
        <w:t>sati.</w:t>
      </w:r>
    </w:p>
    <w:p w14:paraId="33BF417A" w14:textId="77777777" w:rsidR="00B627F0" w:rsidRDefault="00B627F0" w:rsidP="001A4DBC">
      <w:pPr>
        <w:pStyle w:val="NoSpacing"/>
        <w:jc w:val="both"/>
        <w:rPr>
          <w:rFonts w:ascii="Titillium" w:hAnsi="Titillium"/>
          <w:sz w:val="20"/>
          <w:szCs w:val="20"/>
          <w:highlight w:val="yellow"/>
        </w:rPr>
      </w:pPr>
    </w:p>
    <w:p w14:paraId="51D78E9E" w14:textId="534BFA4E" w:rsidR="00D5215A" w:rsidRPr="00937C10" w:rsidRDefault="00D5215A" w:rsidP="001A4DBC">
      <w:pPr>
        <w:pStyle w:val="NoSpacing"/>
        <w:jc w:val="both"/>
        <w:rPr>
          <w:rFonts w:ascii="Titillium" w:hAnsi="Titillium"/>
          <w:sz w:val="20"/>
          <w:szCs w:val="20"/>
        </w:rPr>
      </w:pPr>
      <w:r w:rsidRPr="00B627F0">
        <w:rPr>
          <w:rFonts w:ascii="Titillium" w:hAnsi="Titillium"/>
          <w:b/>
          <w:sz w:val="20"/>
          <w:szCs w:val="20"/>
        </w:rPr>
        <w:t>Javno otvaranj</w:t>
      </w:r>
      <w:r w:rsidR="005C6450">
        <w:rPr>
          <w:rFonts w:ascii="Titillium" w:hAnsi="Titillium"/>
          <w:b/>
          <w:sz w:val="20"/>
          <w:szCs w:val="20"/>
        </w:rPr>
        <w:t xml:space="preserve">e ponuda održat će se </w:t>
      </w:r>
      <w:r w:rsidR="00D14499">
        <w:rPr>
          <w:rFonts w:ascii="Titillium" w:hAnsi="Titillium"/>
          <w:b/>
          <w:sz w:val="20"/>
          <w:szCs w:val="20"/>
        </w:rPr>
        <w:t>______</w:t>
      </w:r>
      <w:r w:rsidR="00395A34" w:rsidRPr="00EE2A85">
        <w:rPr>
          <w:rFonts w:ascii="Titillium" w:hAnsi="Titillium"/>
          <w:b/>
          <w:sz w:val="20"/>
          <w:szCs w:val="20"/>
        </w:rPr>
        <w:t xml:space="preserve">godine u </w:t>
      </w:r>
      <w:r w:rsidR="00D14499">
        <w:rPr>
          <w:rFonts w:ascii="Titillium" w:hAnsi="Titillium"/>
          <w:b/>
          <w:sz w:val="20"/>
          <w:szCs w:val="20"/>
        </w:rPr>
        <w:t>____</w:t>
      </w:r>
      <w:r w:rsidRPr="00EE2A85">
        <w:rPr>
          <w:rFonts w:ascii="Titillium" w:hAnsi="Titillium"/>
          <w:b/>
          <w:sz w:val="20"/>
          <w:szCs w:val="20"/>
        </w:rPr>
        <w:t>sati,</w:t>
      </w:r>
      <w:r w:rsidRPr="00EE2A85">
        <w:rPr>
          <w:rFonts w:ascii="Titillium" w:hAnsi="Titillium"/>
          <w:sz w:val="20"/>
          <w:szCs w:val="20"/>
        </w:rPr>
        <w:t xml:space="preserve"> u</w:t>
      </w:r>
      <w:r w:rsidRPr="00937C10">
        <w:rPr>
          <w:rFonts w:ascii="Titillium" w:hAnsi="Titillium"/>
          <w:sz w:val="20"/>
          <w:szCs w:val="20"/>
        </w:rPr>
        <w:t xml:space="preserve"> prostorijama sjedišta Naručitelja.</w:t>
      </w:r>
    </w:p>
    <w:p w14:paraId="3D370AC9" w14:textId="3C99CDC6" w:rsidR="00D5215A" w:rsidRPr="00D5215A" w:rsidRDefault="00D5215A" w:rsidP="001A4DBC">
      <w:pPr>
        <w:pStyle w:val="NoSpacing"/>
        <w:jc w:val="both"/>
        <w:rPr>
          <w:rFonts w:ascii="Titillium" w:hAnsi="Titillium"/>
          <w:sz w:val="20"/>
          <w:szCs w:val="20"/>
        </w:rPr>
      </w:pPr>
      <w:r w:rsidRPr="00D5215A">
        <w:rPr>
          <w:rFonts w:ascii="Titillium" w:hAnsi="Titillium"/>
          <w:sz w:val="20"/>
          <w:szCs w:val="20"/>
        </w:rPr>
        <w:t>Javnom otvaranju ponuda smiju prisustvovati ovlašteni predstavnici Ponuditelja i druge osobe. Pravo aktivnog sudjelovanja na javnom otvaranju ponuda ima samo Stručno povjerenstvo za javnu nabavu i ovlašteni predstavnici Ponuditelja.</w:t>
      </w:r>
    </w:p>
    <w:p w14:paraId="03A5A7D3" w14:textId="77777777" w:rsidR="00D5215A" w:rsidRPr="00D5215A" w:rsidRDefault="00D5215A" w:rsidP="001A4DBC">
      <w:pPr>
        <w:pStyle w:val="NoSpacing"/>
        <w:jc w:val="both"/>
        <w:rPr>
          <w:rFonts w:ascii="Titillium" w:hAnsi="Titillium"/>
          <w:sz w:val="20"/>
          <w:szCs w:val="20"/>
        </w:rPr>
      </w:pPr>
      <w:r w:rsidRPr="00D5215A">
        <w:rPr>
          <w:rFonts w:ascii="Titillium" w:hAnsi="Titillium"/>
          <w:sz w:val="20"/>
          <w:szCs w:val="20"/>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05240539" w14:textId="77777777" w:rsidR="00D5215A" w:rsidRDefault="00D5215A" w:rsidP="001A4DBC">
      <w:pPr>
        <w:pStyle w:val="NoSpacing"/>
        <w:jc w:val="both"/>
        <w:rPr>
          <w:rFonts w:ascii="Titillium" w:hAnsi="Titillium"/>
          <w:sz w:val="20"/>
          <w:szCs w:val="20"/>
        </w:rPr>
      </w:pPr>
      <w:r w:rsidRPr="00D5215A">
        <w:rPr>
          <w:rFonts w:ascii="Titillium" w:hAnsi="Titillium"/>
          <w:sz w:val="20"/>
          <w:szCs w:val="20"/>
        </w:rPr>
        <w:t>Zapisnik o otvaranju ponuda Naručitelj će odmah uručiti svim ovlaštenim predstavnicima Ponuditelja nazočnima na javnom otvaranju, a ostalim Ponuditeljima zapisnik se dostavlja na njihov pisani zahtjev, osim ako je zapisnik javno objavljen.</w:t>
      </w:r>
    </w:p>
    <w:p w14:paraId="51E91EB1" w14:textId="77777777" w:rsidR="00D5215A" w:rsidRDefault="00D5215A" w:rsidP="001A4DBC">
      <w:pPr>
        <w:pStyle w:val="NoSpacing"/>
        <w:jc w:val="both"/>
        <w:rPr>
          <w:rFonts w:ascii="Titillium" w:hAnsi="Titillium"/>
          <w:sz w:val="20"/>
          <w:szCs w:val="20"/>
        </w:rPr>
      </w:pPr>
    </w:p>
    <w:p w14:paraId="774B54F9" w14:textId="61980D64" w:rsidR="00D5215A" w:rsidRDefault="00BB579A" w:rsidP="001A4DBC">
      <w:pPr>
        <w:pStyle w:val="NoSpacing"/>
        <w:jc w:val="both"/>
        <w:rPr>
          <w:rFonts w:ascii="Titillium" w:hAnsi="Titillium"/>
          <w:b/>
          <w:sz w:val="20"/>
          <w:szCs w:val="20"/>
        </w:rPr>
      </w:pPr>
      <w:r>
        <w:rPr>
          <w:rFonts w:ascii="Titillium" w:hAnsi="Titillium"/>
          <w:b/>
          <w:sz w:val="20"/>
          <w:szCs w:val="20"/>
        </w:rPr>
        <w:t>7.14</w:t>
      </w:r>
      <w:r w:rsidR="00D5215A" w:rsidRPr="00D5215A">
        <w:rPr>
          <w:rFonts w:ascii="Titillium" w:hAnsi="Titillium"/>
          <w:b/>
          <w:sz w:val="20"/>
          <w:szCs w:val="20"/>
        </w:rPr>
        <w:t>. Nedostupnost EOJN RH u trenutku ili tijekom javnog otvaranja ponuda</w:t>
      </w:r>
    </w:p>
    <w:p w14:paraId="2007CB25" w14:textId="77777777" w:rsidR="00D5215A" w:rsidRPr="00D5215A" w:rsidRDefault="00D5215A" w:rsidP="001A4DBC">
      <w:pPr>
        <w:pStyle w:val="NoSpacing"/>
        <w:jc w:val="both"/>
        <w:rPr>
          <w:rFonts w:ascii="Titillium" w:hAnsi="Titillium"/>
          <w:sz w:val="20"/>
          <w:szCs w:val="20"/>
        </w:rPr>
      </w:pPr>
      <w:r w:rsidRPr="00D5215A">
        <w:rPr>
          <w:rFonts w:ascii="Titillium" w:hAnsi="Titillium"/>
          <w:sz w:val="20"/>
          <w:szCs w:val="20"/>
        </w:rPr>
        <w:t>Nedostupnost postoji ako u sustavu u trenutku ili tijekom javnog otvaranja ponuda nije moguće:</w:t>
      </w:r>
    </w:p>
    <w:p w14:paraId="6609197D" w14:textId="77777777" w:rsidR="00D5215A" w:rsidRPr="00D5215A" w:rsidRDefault="00D5215A" w:rsidP="00F77A9D">
      <w:pPr>
        <w:pStyle w:val="NoSpacing"/>
        <w:numPr>
          <w:ilvl w:val="0"/>
          <w:numId w:val="22"/>
        </w:numPr>
        <w:jc w:val="both"/>
        <w:rPr>
          <w:rFonts w:ascii="Titillium" w:hAnsi="Titillium"/>
          <w:sz w:val="20"/>
          <w:szCs w:val="20"/>
        </w:rPr>
      </w:pPr>
      <w:bookmarkStart w:id="33" w:name="_Toc494274043"/>
      <w:bookmarkStart w:id="34" w:name="_Toc504410373"/>
      <w:r w:rsidRPr="00D5215A">
        <w:rPr>
          <w:rFonts w:ascii="Titillium" w:hAnsi="Titillium"/>
          <w:sz w:val="20"/>
          <w:szCs w:val="20"/>
        </w:rPr>
        <w:t>priložiti privatne ključeve</w:t>
      </w:r>
      <w:bookmarkEnd w:id="33"/>
      <w:bookmarkEnd w:id="34"/>
    </w:p>
    <w:p w14:paraId="0623C274" w14:textId="77777777" w:rsidR="00D5215A" w:rsidRPr="00D5215A" w:rsidRDefault="00D5215A" w:rsidP="00F77A9D">
      <w:pPr>
        <w:pStyle w:val="NoSpacing"/>
        <w:numPr>
          <w:ilvl w:val="0"/>
          <w:numId w:val="22"/>
        </w:numPr>
        <w:jc w:val="both"/>
        <w:rPr>
          <w:rFonts w:ascii="Titillium" w:hAnsi="Titillium"/>
          <w:sz w:val="20"/>
          <w:szCs w:val="20"/>
        </w:rPr>
      </w:pPr>
      <w:bookmarkStart w:id="35" w:name="_Toc494274044"/>
      <w:bookmarkStart w:id="36" w:name="_Toc504410374"/>
      <w:r w:rsidRPr="00D5215A">
        <w:rPr>
          <w:rFonts w:ascii="Titillium" w:hAnsi="Titillium"/>
          <w:sz w:val="20"/>
          <w:szCs w:val="20"/>
        </w:rPr>
        <w:t>izvršiti uvid u upisnik elektronički dostavljenih ponuda</w:t>
      </w:r>
      <w:bookmarkEnd w:id="35"/>
      <w:bookmarkEnd w:id="36"/>
    </w:p>
    <w:p w14:paraId="24E7A127" w14:textId="77777777" w:rsidR="00D5215A" w:rsidRPr="00D5215A" w:rsidRDefault="00D5215A" w:rsidP="00F77A9D">
      <w:pPr>
        <w:pStyle w:val="NoSpacing"/>
        <w:numPr>
          <w:ilvl w:val="0"/>
          <w:numId w:val="22"/>
        </w:numPr>
        <w:jc w:val="both"/>
        <w:rPr>
          <w:rFonts w:ascii="Titillium" w:hAnsi="Titillium"/>
          <w:sz w:val="20"/>
          <w:szCs w:val="20"/>
        </w:rPr>
      </w:pPr>
      <w:bookmarkStart w:id="37" w:name="_Toc494274045"/>
      <w:bookmarkStart w:id="38" w:name="_Toc504410375"/>
      <w:r w:rsidRPr="00D5215A">
        <w:rPr>
          <w:rFonts w:ascii="Titillium" w:hAnsi="Titillium"/>
          <w:sz w:val="20"/>
          <w:szCs w:val="20"/>
        </w:rPr>
        <w:t>izvršiti uvid u uvez ponude, odnosno ponudbeni list.</w:t>
      </w:r>
      <w:bookmarkEnd w:id="37"/>
      <w:bookmarkEnd w:id="38"/>
    </w:p>
    <w:p w14:paraId="651E13CE" w14:textId="77777777" w:rsidR="00D5215A" w:rsidRPr="00D5215A" w:rsidRDefault="00D5215A" w:rsidP="001A4DBC">
      <w:pPr>
        <w:pStyle w:val="NoSpacing"/>
        <w:jc w:val="both"/>
        <w:rPr>
          <w:rFonts w:ascii="Titillium" w:hAnsi="Titillium"/>
          <w:sz w:val="20"/>
          <w:szCs w:val="20"/>
        </w:rPr>
      </w:pPr>
      <w:r w:rsidRPr="00D5215A">
        <w:rPr>
          <w:rFonts w:ascii="Titillium" w:hAnsi="Titillium"/>
          <w:sz w:val="20"/>
          <w:szCs w:val="20"/>
        </w:rPr>
        <w:t>Nedostupnost obvezno se prijavljuje Službi za pomoć EOJN RH pri Narodnim novinama d.d. od ponedjeljka do subote u vremenu od 6:00 do 20:00 sati.  Po zaprimanju prijave, Narodne novine d.d. će istu provjeriti te u slučaju utvrđene nedostupnosti obvezne su o tome bez odgode:</w:t>
      </w:r>
    </w:p>
    <w:p w14:paraId="19403F17" w14:textId="77777777" w:rsidR="002D177B" w:rsidRPr="00D5215A" w:rsidRDefault="002D177B" w:rsidP="00F77A9D">
      <w:pPr>
        <w:pStyle w:val="NoSpacing"/>
        <w:numPr>
          <w:ilvl w:val="0"/>
          <w:numId w:val="23"/>
        </w:numPr>
        <w:jc w:val="both"/>
        <w:rPr>
          <w:rFonts w:ascii="Titillium" w:hAnsi="Titillium"/>
          <w:sz w:val="20"/>
          <w:szCs w:val="20"/>
        </w:rPr>
      </w:pPr>
      <w:r w:rsidRPr="00D5215A">
        <w:rPr>
          <w:rFonts w:ascii="Titillium" w:hAnsi="Titillium"/>
          <w:sz w:val="20"/>
          <w:szCs w:val="20"/>
        </w:rPr>
        <w:t>obavijestiti putem elektroničke pošte ponuditelje i članove stručnog povjerenstva za javnu nabavu u postupku javne nabave, ako je moguće</w:t>
      </w:r>
    </w:p>
    <w:p w14:paraId="2E59DF3A" w14:textId="1D541A63" w:rsidR="002D177B" w:rsidRPr="002D177B" w:rsidRDefault="002D177B" w:rsidP="00F77A9D">
      <w:pPr>
        <w:pStyle w:val="NoSpacing"/>
        <w:numPr>
          <w:ilvl w:val="0"/>
          <w:numId w:val="23"/>
        </w:numPr>
        <w:jc w:val="both"/>
        <w:rPr>
          <w:rFonts w:ascii="Titillium" w:hAnsi="Titillium"/>
          <w:sz w:val="20"/>
          <w:szCs w:val="20"/>
        </w:rPr>
      </w:pPr>
      <w:r w:rsidRPr="00D5215A">
        <w:rPr>
          <w:rFonts w:ascii="Titillium" w:hAnsi="Titillium"/>
          <w:sz w:val="20"/>
          <w:szCs w:val="20"/>
        </w:rPr>
        <w:t>obavijestiti putem elektroničke pošte središnje tijelo državne uprave nadležno za politiku javne nabave, i</w:t>
      </w:r>
    </w:p>
    <w:p w14:paraId="0DEDFD0A" w14:textId="77777777" w:rsidR="00D5215A" w:rsidRPr="00D5215A" w:rsidRDefault="00D5215A" w:rsidP="00F77A9D">
      <w:pPr>
        <w:pStyle w:val="NoSpacing"/>
        <w:numPr>
          <w:ilvl w:val="0"/>
          <w:numId w:val="23"/>
        </w:numPr>
        <w:jc w:val="both"/>
        <w:rPr>
          <w:rFonts w:ascii="Titillium" w:hAnsi="Titillium"/>
          <w:sz w:val="20"/>
          <w:szCs w:val="20"/>
        </w:rPr>
      </w:pPr>
      <w:bookmarkStart w:id="39" w:name="_Toc494274047"/>
      <w:bookmarkStart w:id="40" w:name="_Toc504410377"/>
      <w:r w:rsidRPr="00D5215A">
        <w:rPr>
          <w:rFonts w:ascii="Titillium" w:hAnsi="Titillium"/>
          <w:sz w:val="20"/>
          <w:szCs w:val="20"/>
        </w:rPr>
        <w:t>objaviti obavijest o nedostupnosti EOJN RH na internetskim stranicama.</w:t>
      </w:r>
      <w:bookmarkEnd w:id="39"/>
      <w:bookmarkEnd w:id="40"/>
    </w:p>
    <w:p w14:paraId="7E111A62" w14:textId="3D949031" w:rsidR="00D5215A" w:rsidRDefault="00D5215A" w:rsidP="00F77A9D">
      <w:pPr>
        <w:pStyle w:val="NoSpacing"/>
        <w:numPr>
          <w:ilvl w:val="0"/>
          <w:numId w:val="23"/>
        </w:numPr>
        <w:jc w:val="both"/>
        <w:rPr>
          <w:rFonts w:ascii="Titillium" w:hAnsi="Titillium"/>
          <w:sz w:val="20"/>
          <w:szCs w:val="20"/>
        </w:rPr>
      </w:pPr>
      <w:bookmarkStart w:id="41" w:name="_Toc494274048"/>
      <w:bookmarkStart w:id="42" w:name="_Toc504410378"/>
      <w:r w:rsidRPr="00D5215A">
        <w:rPr>
          <w:rFonts w:ascii="Titillium" w:hAnsi="Titillium"/>
          <w:sz w:val="20"/>
          <w:szCs w:val="20"/>
        </w:rPr>
        <w:t>Iznimno, ako se nedostupnost otkloni u roku kraćem od 30 minuta od zaprimanja prijave, smatra se da nedostupnost nije nastupila.</w:t>
      </w:r>
      <w:bookmarkEnd w:id="41"/>
      <w:bookmarkEnd w:id="42"/>
    </w:p>
    <w:p w14:paraId="076C7282" w14:textId="77777777" w:rsidR="002D177B" w:rsidRPr="00D5215A" w:rsidRDefault="002D177B" w:rsidP="002D177B">
      <w:pPr>
        <w:pStyle w:val="NoSpacing"/>
        <w:ind w:left="720"/>
        <w:jc w:val="both"/>
        <w:rPr>
          <w:rFonts w:ascii="Titillium" w:hAnsi="Titillium"/>
          <w:sz w:val="20"/>
          <w:szCs w:val="20"/>
        </w:rPr>
      </w:pPr>
    </w:p>
    <w:p w14:paraId="712E12D1" w14:textId="29CC46AB" w:rsidR="00D5215A" w:rsidRDefault="00D5215A" w:rsidP="001A4DBC">
      <w:pPr>
        <w:pStyle w:val="NoSpacing"/>
        <w:jc w:val="both"/>
        <w:rPr>
          <w:rFonts w:ascii="Titillium" w:hAnsi="Titillium"/>
          <w:sz w:val="20"/>
          <w:szCs w:val="20"/>
        </w:rPr>
      </w:pPr>
      <w:r w:rsidRPr="00D5215A">
        <w:rPr>
          <w:rFonts w:ascii="Titillium" w:hAnsi="Titillium"/>
          <w:sz w:val="20"/>
          <w:szCs w:val="20"/>
        </w:rPr>
        <w:t>Ako se utvrdi nedostupnost EOJN RH u trenutku ili tijekom otvaranja, postupak otvaranja započinje istekom roka za dostavu ponuda te se zaustavlja dok se nedostupnost ne otkloni. Nakon otklanjanja nedostupnosti EOJN RH, Narodne novine d.d. obvezne su bez odgode postupiti analogno članku 38. stavku 2. točkama 1., 2. i 3. Pravilnika. Nakon zaprimanja obavijesti naručitelj je obvezan nastaviti s otvaranjem ponuda najkasnije u roku od 48 sati od zaprimanja obavijesti, a ako taj rok ističe na dan na koji naručitelj ne radi, otvaranje će se nastaviti prvi sljedeći radni dan.  Naručitelj je obvezan bez odgode obavijestiti ponuditelje o mjestu i vremenu nastavka otvaranja ponuda ako je otvaranje ponuda javno.  Od otklanjanja nedostupnosti do nastavka otvaranja ponuda, ponude se ne smiju mijenjati.</w:t>
      </w:r>
    </w:p>
    <w:p w14:paraId="1CBFE0B2" w14:textId="77777777" w:rsidR="00CF6D34" w:rsidRPr="00D5215A" w:rsidRDefault="00CF6D34" w:rsidP="001A4DBC">
      <w:pPr>
        <w:pStyle w:val="NoSpacing"/>
        <w:jc w:val="both"/>
        <w:rPr>
          <w:rFonts w:ascii="Titillium" w:hAnsi="Titillium"/>
          <w:sz w:val="20"/>
          <w:szCs w:val="20"/>
        </w:rPr>
      </w:pPr>
    </w:p>
    <w:p w14:paraId="0F94C773" w14:textId="00B6D534" w:rsidR="00D5215A" w:rsidRDefault="00BB579A" w:rsidP="001A4DBC">
      <w:pPr>
        <w:pStyle w:val="NoSpacing"/>
        <w:jc w:val="both"/>
        <w:rPr>
          <w:rFonts w:ascii="Titillium" w:hAnsi="Titillium"/>
          <w:b/>
          <w:sz w:val="20"/>
          <w:szCs w:val="20"/>
        </w:rPr>
      </w:pPr>
      <w:r>
        <w:rPr>
          <w:rFonts w:ascii="Titillium" w:hAnsi="Titillium"/>
          <w:b/>
          <w:sz w:val="20"/>
          <w:szCs w:val="20"/>
        </w:rPr>
        <w:t>7.15</w:t>
      </w:r>
      <w:r w:rsidR="00F17CD5" w:rsidRPr="00F17CD5">
        <w:rPr>
          <w:rFonts w:ascii="Titillium" w:hAnsi="Titillium"/>
          <w:b/>
          <w:sz w:val="20"/>
          <w:szCs w:val="20"/>
        </w:rPr>
        <w:t xml:space="preserve">. </w:t>
      </w:r>
      <w:r w:rsidR="00F17CD5" w:rsidRPr="00F17CD5">
        <w:rPr>
          <w:rFonts w:ascii="Titillium" w:hAnsi="Titillium"/>
          <w:b/>
          <w:sz w:val="20"/>
          <w:szCs w:val="20"/>
        </w:rPr>
        <w:tab/>
        <w:t>Uradci ili dokumenti koji će se nakon završetka postupka javne nabave vratiti ponuditeljima</w:t>
      </w:r>
    </w:p>
    <w:p w14:paraId="0B8D8206" w14:textId="16BBF9F5" w:rsidR="00404C15" w:rsidRDefault="00F17CD5" w:rsidP="001A4DBC">
      <w:pPr>
        <w:pStyle w:val="NoSpacing"/>
        <w:jc w:val="both"/>
        <w:rPr>
          <w:rFonts w:ascii="Titillium" w:hAnsi="Titillium"/>
          <w:sz w:val="20"/>
          <w:szCs w:val="20"/>
        </w:rPr>
      </w:pPr>
      <w:r w:rsidRPr="00F17CD5">
        <w:rPr>
          <w:rFonts w:ascii="Titillium" w:hAnsi="Titillium"/>
          <w:sz w:val="20"/>
          <w:szCs w:val="20"/>
        </w:rPr>
        <w:t>Naručitelj je obvezan vratiti ponuditeljima jamstvo za ozbiljnost ponude u roku od deset radnih dana od dana potpisivanja ugovora o javnoj nabavi, odnosno dostave jamstva za uredno izvršenje ugovora o javnoj nabavi, a presliku jamstva obvezan je pohraniti. Sve elektronički dostavljene ponude EOJN RH će pohraniti na način koji omogućava očuvanje integriteta podataka. 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4470DE81" w14:textId="77777777" w:rsidR="002D177B" w:rsidRDefault="002D177B" w:rsidP="001A4DBC">
      <w:pPr>
        <w:pStyle w:val="NoSpacing"/>
        <w:jc w:val="both"/>
        <w:rPr>
          <w:rFonts w:ascii="Titillium" w:hAnsi="Titillium"/>
          <w:sz w:val="20"/>
          <w:szCs w:val="20"/>
        </w:rPr>
      </w:pPr>
    </w:p>
    <w:p w14:paraId="4B42422C" w14:textId="7235E4F3" w:rsidR="00F17CD5" w:rsidRPr="00404C15" w:rsidRDefault="00BB579A" w:rsidP="001A4DBC">
      <w:pPr>
        <w:pStyle w:val="NoSpacing"/>
        <w:jc w:val="both"/>
        <w:rPr>
          <w:rFonts w:ascii="Titillium" w:hAnsi="Titillium"/>
          <w:sz w:val="20"/>
          <w:szCs w:val="20"/>
        </w:rPr>
      </w:pPr>
      <w:r>
        <w:rPr>
          <w:rFonts w:ascii="Titillium" w:hAnsi="Titillium"/>
          <w:b/>
          <w:sz w:val="20"/>
          <w:szCs w:val="20"/>
        </w:rPr>
        <w:t>7.16</w:t>
      </w:r>
      <w:r w:rsidR="00F17CD5" w:rsidRPr="00CF6D34">
        <w:rPr>
          <w:rFonts w:ascii="Titillium" w:hAnsi="Titillium"/>
          <w:b/>
          <w:sz w:val="20"/>
          <w:szCs w:val="20"/>
        </w:rPr>
        <w:t xml:space="preserve">. </w:t>
      </w:r>
      <w:r w:rsidR="00F17CD5" w:rsidRPr="00CF6D34">
        <w:rPr>
          <w:rFonts w:ascii="Titillium" w:hAnsi="Titillium"/>
          <w:b/>
          <w:sz w:val="20"/>
          <w:szCs w:val="20"/>
        </w:rPr>
        <w:tab/>
        <w:t xml:space="preserve">Posebni uvjeti izvršenja ugovora </w:t>
      </w:r>
    </w:p>
    <w:p w14:paraId="3BD31104" w14:textId="4D1577DA" w:rsidR="00A30DBD" w:rsidRDefault="005D6F19" w:rsidP="00CF6D34">
      <w:pPr>
        <w:pStyle w:val="NoSpacing"/>
        <w:jc w:val="both"/>
        <w:rPr>
          <w:rFonts w:ascii="Titillium" w:hAnsi="Titillium"/>
          <w:sz w:val="20"/>
          <w:szCs w:val="20"/>
        </w:rPr>
      </w:pPr>
      <w:r>
        <w:rPr>
          <w:rFonts w:ascii="Titillium" w:hAnsi="Titillium"/>
          <w:sz w:val="20"/>
          <w:szCs w:val="20"/>
        </w:rPr>
        <w:t>Isporučitelj je dužan izvršiti uslugu koja je</w:t>
      </w:r>
      <w:r w:rsidR="00CF6D34" w:rsidRPr="00CF6D34">
        <w:rPr>
          <w:rFonts w:ascii="Titillium" w:hAnsi="Titillium"/>
          <w:sz w:val="20"/>
          <w:szCs w:val="20"/>
        </w:rPr>
        <w:t xml:space="preserve"> predmet nabave prema zahtjevima </w:t>
      </w:r>
      <w:r>
        <w:rPr>
          <w:rFonts w:ascii="Titillium" w:hAnsi="Titillium"/>
          <w:sz w:val="20"/>
          <w:szCs w:val="20"/>
        </w:rPr>
        <w:t>Naručitelja opisanim ovoj dokumentaciji o nabavi i u Dodatku 1 – opis posla</w:t>
      </w:r>
      <w:r w:rsidR="00CF6D34" w:rsidRPr="00CF6D34">
        <w:rPr>
          <w:rFonts w:ascii="Titillium" w:hAnsi="Titillium"/>
          <w:sz w:val="20"/>
          <w:szCs w:val="20"/>
        </w:rPr>
        <w:t xml:space="preserve"> specifikacijama, važećim standardima, zakonima i propisima Republike Hrvatske. </w:t>
      </w:r>
    </w:p>
    <w:p w14:paraId="47F16B13" w14:textId="03852688" w:rsidR="00F17CD5" w:rsidRDefault="00F17CD5" w:rsidP="001A4DBC">
      <w:pPr>
        <w:pStyle w:val="NoSpacing"/>
        <w:jc w:val="both"/>
        <w:rPr>
          <w:rFonts w:ascii="Titillium" w:hAnsi="Titillium"/>
          <w:sz w:val="20"/>
          <w:szCs w:val="20"/>
        </w:rPr>
      </w:pPr>
    </w:p>
    <w:p w14:paraId="13A5909F" w14:textId="7914BA1D" w:rsidR="00F17CD5" w:rsidRPr="00F17CD5" w:rsidRDefault="00BB579A" w:rsidP="001A4DBC">
      <w:pPr>
        <w:pStyle w:val="NoSpacing"/>
        <w:jc w:val="both"/>
        <w:rPr>
          <w:rFonts w:ascii="Titillium" w:hAnsi="Titillium"/>
          <w:b/>
          <w:sz w:val="20"/>
          <w:szCs w:val="20"/>
        </w:rPr>
      </w:pPr>
      <w:r>
        <w:rPr>
          <w:rFonts w:ascii="Titillium" w:hAnsi="Titillium"/>
          <w:b/>
          <w:sz w:val="20"/>
          <w:szCs w:val="20"/>
        </w:rPr>
        <w:t>7.17</w:t>
      </w:r>
      <w:r w:rsidR="00F17CD5" w:rsidRPr="00F17CD5">
        <w:rPr>
          <w:rFonts w:ascii="Titillium" w:hAnsi="Titillium"/>
          <w:b/>
          <w:sz w:val="20"/>
          <w:szCs w:val="20"/>
        </w:rPr>
        <w:t xml:space="preserve">. </w:t>
      </w:r>
      <w:r w:rsidR="00F17CD5" w:rsidRPr="00F17CD5">
        <w:rPr>
          <w:rFonts w:ascii="Titillium" w:hAnsi="Titillium"/>
          <w:b/>
          <w:sz w:val="20"/>
          <w:szCs w:val="20"/>
        </w:rPr>
        <w:tab/>
        <w:t>Navod o primjeni trgovačkih običaja (uzanci)</w:t>
      </w:r>
    </w:p>
    <w:p w14:paraId="51A9D9A2" w14:textId="77777777" w:rsidR="00F17CD5" w:rsidRPr="00F17CD5" w:rsidRDefault="00F17CD5" w:rsidP="001A4DBC">
      <w:pPr>
        <w:pStyle w:val="NoSpacing"/>
        <w:jc w:val="both"/>
        <w:rPr>
          <w:rFonts w:ascii="Titillium" w:hAnsi="Titillium"/>
          <w:sz w:val="20"/>
          <w:szCs w:val="20"/>
        </w:rPr>
      </w:pPr>
      <w:r w:rsidRPr="00F17CD5">
        <w:rPr>
          <w:rFonts w:ascii="Titillium" w:hAnsi="Titillium"/>
          <w:sz w:val="20"/>
          <w:szCs w:val="20"/>
        </w:rPr>
        <w:t>Tijekom izvršenja ugovora o javnoj nabavi neće se primjenjivati trgovački običaji (uzance).</w:t>
      </w:r>
    </w:p>
    <w:p w14:paraId="7C0F0CB1" w14:textId="77777777" w:rsidR="00F17CD5" w:rsidRPr="00F17CD5" w:rsidRDefault="00F17CD5" w:rsidP="001A4DBC">
      <w:pPr>
        <w:pStyle w:val="NoSpacing"/>
        <w:jc w:val="both"/>
        <w:rPr>
          <w:rFonts w:ascii="Titillium" w:hAnsi="Titillium"/>
          <w:sz w:val="20"/>
          <w:szCs w:val="20"/>
        </w:rPr>
      </w:pPr>
    </w:p>
    <w:p w14:paraId="6866D144" w14:textId="68A7B62B" w:rsidR="00F17CD5" w:rsidRPr="00F17CD5" w:rsidRDefault="00BB579A" w:rsidP="001A4DBC">
      <w:pPr>
        <w:pStyle w:val="NoSpacing"/>
        <w:jc w:val="both"/>
        <w:rPr>
          <w:rFonts w:ascii="Titillium" w:hAnsi="Titillium"/>
          <w:b/>
          <w:bCs/>
          <w:sz w:val="20"/>
          <w:szCs w:val="20"/>
        </w:rPr>
      </w:pPr>
      <w:bookmarkStart w:id="43" w:name="_Toc494274055"/>
      <w:bookmarkStart w:id="44" w:name="_Toc504410383"/>
      <w:r>
        <w:rPr>
          <w:rFonts w:ascii="Titillium" w:hAnsi="Titillium"/>
          <w:b/>
          <w:bCs/>
          <w:sz w:val="20"/>
          <w:szCs w:val="20"/>
        </w:rPr>
        <w:t>7.18</w:t>
      </w:r>
      <w:r w:rsidR="00F17CD5">
        <w:rPr>
          <w:rFonts w:ascii="Titillium" w:hAnsi="Titillium"/>
          <w:b/>
          <w:bCs/>
          <w:sz w:val="20"/>
          <w:szCs w:val="20"/>
        </w:rPr>
        <w:t xml:space="preserve">. </w:t>
      </w:r>
      <w:r w:rsidR="00F17CD5">
        <w:rPr>
          <w:rFonts w:ascii="Titillium" w:hAnsi="Titillium"/>
          <w:b/>
          <w:bCs/>
          <w:sz w:val="20"/>
          <w:szCs w:val="20"/>
        </w:rPr>
        <w:tab/>
      </w:r>
      <w:r w:rsidR="00F17CD5" w:rsidRPr="00F17CD5">
        <w:rPr>
          <w:rFonts w:ascii="Titillium" w:hAnsi="Titillium"/>
          <w:b/>
          <w:bCs/>
          <w:sz w:val="20"/>
          <w:szCs w:val="20"/>
        </w:rPr>
        <w:t>Rok za donošenje odluke o odabiru</w:t>
      </w:r>
      <w:bookmarkEnd w:id="43"/>
      <w:bookmarkEnd w:id="44"/>
    </w:p>
    <w:p w14:paraId="4B771E5B" w14:textId="43EE3E0C" w:rsidR="00F17CD5" w:rsidRPr="00F17CD5" w:rsidRDefault="00F17CD5" w:rsidP="001A4DBC">
      <w:pPr>
        <w:pStyle w:val="NoSpacing"/>
        <w:jc w:val="both"/>
        <w:rPr>
          <w:rFonts w:ascii="Titillium" w:hAnsi="Titillium"/>
          <w:sz w:val="20"/>
          <w:szCs w:val="20"/>
        </w:rPr>
      </w:pPr>
      <w:r w:rsidRPr="00F17CD5">
        <w:rPr>
          <w:rFonts w:ascii="Titillium" w:hAnsi="Titillium"/>
          <w:sz w:val="20"/>
          <w:szCs w:val="20"/>
        </w:rPr>
        <w:t xml:space="preserve">Rok za donošenje Odluke o odabiru ili odluke o poništenju postupka javne nabave iznosi </w:t>
      </w:r>
      <w:r w:rsidR="00DC12CF">
        <w:rPr>
          <w:rFonts w:ascii="Titillium" w:hAnsi="Titillium"/>
          <w:b/>
          <w:sz w:val="20"/>
          <w:szCs w:val="20"/>
        </w:rPr>
        <w:t>60 (šezdeset</w:t>
      </w:r>
      <w:r w:rsidRPr="00F17CD5">
        <w:rPr>
          <w:rFonts w:ascii="Titillium" w:hAnsi="Titillium"/>
          <w:b/>
          <w:sz w:val="20"/>
          <w:szCs w:val="20"/>
        </w:rPr>
        <w:t xml:space="preserve">) dana </w:t>
      </w:r>
      <w:r w:rsidRPr="00F17CD5">
        <w:rPr>
          <w:rFonts w:ascii="Titillium" w:hAnsi="Titillium"/>
          <w:sz w:val="20"/>
          <w:szCs w:val="20"/>
        </w:rPr>
        <w:t>od dana isteka roka za dostavu ponude.</w:t>
      </w:r>
    </w:p>
    <w:p w14:paraId="33D45E2E" w14:textId="77777777" w:rsidR="00F17CD5" w:rsidRDefault="00F17CD5" w:rsidP="001A4DBC">
      <w:pPr>
        <w:pStyle w:val="NoSpacing"/>
        <w:jc w:val="both"/>
        <w:rPr>
          <w:rFonts w:ascii="Titillium" w:hAnsi="Titillium"/>
          <w:sz w:val="20"/>
          <w:szCs w:val="20"/>
        </w:rPr>
      </w:pPr>
      <w:r w:rsidRPr="00F17CD5">
        <w:rPr>
          <w:rFonts w:ascii="Titillium" w:hAnsi="Titillium"/>
          <w:sz w:val="20"/>
          <w:szCs w:val="20"/>
        </w:rPr>
        <w:t>Odluku o odabiru ili odluku o poništenju postupka javne nabave s preslikom Zapisnika o pregledu i ocjeni ponuda, Naručitelj će bez odgode dostaviti putem EOJN javnom objavom.</w:t>
      </w:r>
    </w:p>
    <w:p w14:paraId="7B55A87A" w14:textId="32E8574E" w:rsidR="00005EB6" w:rsidRDefault="00005EB6" w:rsidP="001A4DBC">
      <w:pPr>
        <w:pStyle w:val="NoSpacing"/>
        <w:jc w:val="both"/>
        <w:rPr>
          <w:rFonts w:ascii="Titillium" w:hAnsi="Titillium"/>
          <w:sz w:val="20"/>
          <w:szCs w:val="20"/>
        </w:rPr>
      </w:pPr>
    </w:p>
    <w:p w14:paraId="202D5146" w14:textId="61039DA9" w:rsidR="00F17CD5" w:rsidRDefault="00BB579A" w:rsidP="001A4DBC">
      <w:pPr>
        <w:pStyle w:val="NoSpacing"/>
        <w:jc w:val="both"/>
        <w:rPr>
          <w:rFonts w:ascii="Titillium" w:hAnsi="Titillium"/>
          <w:b/>
          <w:sz w:val="20"/>
          <w:szCs w:val="20"/>
        </w:rPr>
      </w:pPr>
      <w:r>
        <w:rPr>
          <w:rFonts w:ascii="Titillium" w:hAnsi="Titillium"/>
          <w:b/>
          <w:sz w:val="20"/>
          <w:szCs w:val="20"/>
        </w:rPr>
        <w:t>7.19</w:t>
      </w:r>
      <w:r w:rsidR="00F17CD5" w:rsidRPr="00F17CD5">
        <w:rPr>
          <w:rFonts w:ascii="Titillium" w:hAnsi="Titillium"/>
          <w:b/>
          <w:sz w:val="20"/>
          <w:szCs w:val="20"/>
        </w:rPr>
        <w:t xml:space="preserve">. </w:t>
      </w:r>
      <w:r w:rsidR="00F17CD5" w:rsidRPr="00F17CD5">
        <w:rPr>
          <w:rFonts w:ascii="Titillium" w:hAnsi="Titillium"/>
          <w:b/>
          <w:sz w:val="20"/>
          <w:szCs w:val="20"/>
        </w:rPr>
        <w:tab/>
        <w:t>Rok za izjavljivanje žalbe na dokumentaciju o nabavi te naziv i adresa žalbenog tijela</w:t>
      </w:r>
      <w:r w:rsidR="00F17CD5">
        <w:rPr>
          <w:rFonts w:ascii="Titillium" w:hAnsi="Titillium"/>
          <w:b/>
          <w:sz w:val="20"/>
          <w:szCs w:val="20"/>
        </w:rPr>
        <w:t>,</w:t>
      </w:r>
    </w:p>
    <w:p w14:paraId="15F733D3"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Rok za izjavljivanje žalbe na dokumentaciju o nabavi je 10 (deset) dana, i to od dana</w:t>
      </w:r>
    </w:p>
    <w:p w14:paraId="478BE9FD" w14:textId="77777777" w:rsidR="004A53A2" w:rsidRPr="00B5763E" w:rsidRDefault="004A53A2" w:rsidP="00F77A9D">
      <w:pPr>
        <w:pStyle w:val="ListParagraph"/>
        <w:numPr>
          <w:ilvl w:val="0"/>
          <w:numId w:val="28"/>
        </w:numPr>
        <w:spacing w:after="160"/>
        <w:ind w:left="284" w:hanging="284"/>
        <w:contextualSpacing/>
        <w:jc w:val="both"/>
        <w:rPr>
          <w:rFonts w:ascii="Calibri Light" w:eastAsiaTheme="majorEastAsia" w:hAnsi="Calibri Light"/>
          <w:bCs/>
          <w:sz w:val="22"/>
          <w:szCs w:val="22"/>
        </w:rPr>
      </w:pPr>
      <w:r>
        <w:rPr>
          <w:rFonts w:ascii="Calibri Light" w:eastAsiaTheme="majorEastAsia" w:hAnsi="Calibri Light"/>
          <w:bCs/>
          <w:sz w:val="22"/>
          <w:szCs w:val="22"/>
        </w:rPr>
        <w:t xml:space="preserve">  </w:t>
      </w:r>
      <w:r w:rsidRPr="00B5763E">
        <w:rPr>
          <w:rFonts w:ascii="Calibri Light" w:eastAsiaTheme="majorEastAsia" w:hAnsi="Calibri Light"/>
          <w:bCs/>
          <w:sz w:val="22"/>
          <w:szCs w:val="22"/>
        </w:rPr>
        <w:t>objave poziva na nadmetanje, u odnosu na sadržaj poziva ili dokumentacije o nabavi,</w:t>
      </w:r>
    </w:p>
    <w:p w14:paraId="5D9C5B8F" w14:textId="77777777" w:rsidR="004A53A2" w:rsidRPr="00B5763E" w:rsidRDefault="004A53A2" w:rsidP="00F77A9D">
      <w:pPr>
        <w:pStyle w:val="ListParagraph"/>
        <w:numPr>
          <w:ilvl w:val="0"/>
          <w:numId w:val="28"/>
        </w:numPr>
        <w:spacing w:after="160"/>
        <w:ind w:left="284" w:hanging="284"/>
        <w:contextualSpacing/>
        <w:jc w:val="both"/>
        <w:rPr>
          <w:rFonts w:ascii="Calibri Light" w:eastAsiaTheme="majorEastAsia" w:hAnsi="Calibri Light"/>
          <w:bCs/>
          <w:sz w:val="22"/>
          <w:szCs w:val="22"/>
        </w:rPr>
      </w:pPr>
      <w:r>
        <w:rPr>
          <w:rFonts w:ascii="Calibri Light" w:eastAsiaTheme="majorEastAsia" w:hAnsi="Calibri Light"/>
          <w:bCs/>
          <w:sz w:val="22"/>
          <w:szCs w:val="22"/>
        </w:rPr>
        <w:t xml:space="preserve">  </w:t>
      </w:r>
      <w:r w:rsidRPr="00B5763E">
        <w:rPr>
          <w:rFonts w:ascii="Calibri Light" w:eastAsiaTheme="majorEastAsia" w:hAnsi="Calibri Light"/>
          <w:bCs/>
          <w:sz w:val="22"/>
          <w:szCs w:val="22"/>
        </w:rPr>
        <w:t>objave obavijesti o ispravku, u odnosu na sadržaj ispravka,</w:t>
      </w:r>
    </w:p>
    <w:p w14:paraId="5271762F" w14:textId="77777777" w:rsidR="004A53A2" w:rsidRDefault="004A53A2" w:rsidP="00F77A9D">
      <w:pPr>
        <w:pStyle w:val="ListParagraph"/>
        <w:numPr>
          <w:ilvl w:val="0"/>
          <w:numId w:val="28"/>
        </w:numPr>
        <w:spacing w:after="160"/>
        <w:ind w:left="284" w:hanging="284"/>
        <w:contextualSpacing/>
        <w:jc w:val="both"/>
        <w:rPr>
          <w:rFonts w:ascii="Calibri Light" w:eastAsiaTheme="majorEastAsia" w:hAnsi="Calibri Light"/>
          <w:bCs/>
          <w:sz w:val="22"/>
          <w:szCs w:val="22"/>
        </w:rPr>
      </w:pPr>
      <w:r>
        <w:rPr>
          <w:rFonts w:ascii="Calibri Light" w:eastAsiaTheme="majorEastAsia" w:hAnsi="Calibri Light"/>
          <w:bCs/>
          <w:sz w:val="22"/>
          <w:szCs w:val="22"/>
        </w:rPr>
        <w:t xml:space="preserve">  </w:t>
      </w:r>
      <w:r w:rsidRPr="00B5763E">
        <w:rPr>
          <w:rFonts w:ascii="Calibri Light" w:eastAsiaTheme="majorEastAsia" w:hAnsi="Calibri Light"/>
          <w:bCs/>
          <w:sz w:val="22"/>
          <w:szCs w:val="22"/>
        </w:rPr>
        <w:t>objave izmjene dokumentacije o nabavi, u odnosu na sadržaj izmjene dokumentacije.</w:t>
      </w:r>
    </w:p>
    <w:p w14:paraId="65CFBEDD" w14:textId="77777777" w:rsidR="004A53A2" w:rsidRPr="00F5287B" w:rsidRDefault="004A53A2" w:rsidP="00F77A9D">
      <w:pPr>
        <w:pStyle w:val="ListParagraph"/>
        <w:numPr>
          <w:ilvl w:val="0"/>
          <w:numId w:val="28"/>
        </w:numPr>
        <w:spacing w:after="160"/>
        <w:contextualSpacing/>
        <w:jc w:val="both"/>
        <w:rPr>
          <w:rFonts w:ascii="Calibri Light" w:eastAsiaTheme="majorEastAsia" w:hAnsi="Calibri Light"/>
          <w:bCs/>
          <w:sz w:val="22"/>
          <w:szCs w:val="22"/>
        </w:rPr>
      </w:pPr>
      <w:r w:rsidRPr="00F5287B">
        <w:rPr>
          <w:rFonts w:ascii="Calibri Light" w:eastAsiaTheme="majorEastAsia" w:hAnsi="Calibri Light"/>
          <w:bCs/>
          <w:sz w:val="22"/>
          <w:szCs w:val="22"/>
        </w:rPr>
        <w:t>otvaranja ponuda u odnosu na propuštanje naručitelja da valjano odgovori na pravodobno dostavljen zahtjev dodatne informacije, objašnjenja ili izmjene dokumentacije o nabavi te na postupak otvaranja ponuda</w:t>
      </w:r>
    </w:p>
    <w:p w14:paraId="6DDA23A9" w14:textId="77777777" w:rsidR="004A53A2" w:rsidRPr="00B5763E" w:rsidRDefault="004A53A2" w:rsidP="00F77A9D">
      <w:pPr>
        <w:pStyle w:val="ListParagraph"/>
        <w:numPr>
          <w:ilvl w:val="0"/>
          <w:numId w:val="28"/>
        </w:numPr>
        <w:spacing w:after="160"/>
        <w:contextualSpacing/>
        <w:jc w:val="both"/>
        <w:rPr>
          <w:rFonts w:ascii="Calibri Light" w:eastAsiaTheme="majorEastAsia" w:hAnsi="Calibri Light"/>
          <w:bCs/>
          <w:sz w:val="22"/>
          <w:szCs w:val="22"/>
        </w:rPr>
      </w:pPr>
      <w:r w:rsidRPr="00F5287B">
        <w:rPr>
          <w:rFonts w:ascii="Calibri Light" w:eastAsiaTheme="majorEastAsia" w:hAnsi="Calibri Light"/>
          <w:bCs/>
          <w:sz w:val="22"/>
          <w:szCs w:val="22"/>
        </w:rPr>
        <w:t>primitka odluke o odabiru ili poništenju, u odnosu na postupak pregleda, ocjene i odabira ponuda, ili razloge poništenja.</w:t>
      </w:r>
    </w:p>
    <w:p w14:paraId="64970281"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Naziv i adresa žalbenog tijela: Državna komisija za kontrolu postupaka javne nabave,  Koturaška cesta 43/IV, 10 000 Zagreb. Članak 405. ZJN 2016:</w:t>
      </w:r>
    </w:p>
    <w:p w14:paraId="1047EF4D"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(1) Žalba se izjavljuje Državnoj komisiji u pisanom obliku.</w:t>
      </w:r>
    </w:p>
    <w:p w14:paraId="32B407AF"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(2) Žalba se dostavlja neposredno, putem ovlaštenog davatelja poštanskih usluga ili elektroničkim sredstvima komunikacije putem međusobno povezanih informacijskih sustava Državne komisije i EOJN RH.</w:t>
      </w:r>
    </w:p>
    <w:p w14:paraId="3F978C95"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(3) Žalitelj je obvezan primjerak žalbe dostaviti naručitelju u roku za žalbu.</w:t>
      </w:r>
    </w:p>
    <w:p w14:paraId="33F8F8F6"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(4) Kad je žalba upućena putem ovlaštenog davatelja poštanskih usluga, dan predaje ovlaštenom davatelju poštanskih usluga smatra se danom predaje Državnoj komisiji, odnosno naručitelju.</w:t>
      </w:r>
    </w:p>
    <w:p w14:paraId="7173BE1F"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(5) Pravodobnost žalbe utvrđuje Državna komisija, s time da će se žalba koja nije dostavljena naručitelju u skladu sa stavkom 3. ovoga članka smatrati nepravodobnom.</w:t>
      </w:r>
    </w:p>
    <w:p w14:paraId="0051936B"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(6) Oblik i način dostave žalbe elektroničkim sredstvima komunikacije, način povezivanja informacijskih sustava i druga bitna pitanja u vezi s elektroničkom žalbom propisuje čelnik središnjeg tijela državne uprave nadležnog za politiku javne nabave, pravilnikom.</w:t>
      </w:r>
    </w:p>
    <w:p w14:paraId="54910F6A" w14:textId="77777777" w:rsidR="004A53A2" w:rsidRPr="00B5763E" w:rsidRDefault="004A53A2" w:rsidP="004A53A2">
      <w:pPr>
        <w:spacing w:line="240" w:lineRule="auto"/>
        <w:jc w:val="both"/>
        <w:rPr>
          <w:rFonts w:ascii="Calibri Light" w:eastAsiaTheme="majorEastAsia" w:hAnsi="Calibri Light"/>
          <w:bCs/>
        </w:rPr>
      </w:pPr>
      <w:r w:rsidRPr="00B5763E">
        <w:rPr>
          <w:rFonts w:ascii="Calibri Light" w:eastAsiaTheme="majorEastAsia" w:hAnsi="Calibri Light"/>
          <w:bCs/>
        </w:rPr>
        <w:t>Sukladno Pravilniku o elektroničkoj žalbi u javnoj nabavi (Narodne novine, broj 101/2017) žalba se može dostaviti i elektroničkim sredstvima komunikacije putem sustava e-Žalba.</w:t>
      </w:r>
    </w:p>
    <w:p w14:paraId="0990BFE6" w14:textId="1BEC4781" w:rsidR="00A30DBD" w:rsidRDefault="00A30DBD" w:rsidP="001A4DBC">
      <w:pPr>
        <w:pStyle w:val="NoSpacing"/>
        <w:jc w:val="both"/>
        <w:rPr>
          <w:rFonts w:ascii="Titillium" w:hAnsi="Titillium"/>
          <w:sz w:val="20"/>
          <w:szCs w:val="20"/>
        </w:rPr>
      </w:pPr>
    </w:p>
    <w:p w14:paraId="4A211CFB" w14:textId="1462C455" w:rsidR="00E52019" w:rsidRDefault="00E52019" w:rsidP="001A4DBC">
      <w:pPr>
        <w:pStyle w:val="NoSpacing"/>
        <w:ind w:firstLine="708"/>
        <w:jc w:val="both"/>
        <w:rPr>
          <w:rFonts w:ascii="Titillium" w:hAnsi="Titillium"/>
          <w:b/>
        </w:rPr>
      </w:pPr>
      <w:r w:rsidRPr="00E52019">
        <w:rPr>
          <w:rFonts w:ascii="Titillium" w:hAnsi="Titillium"/>
          <w:b/>
        </w:rPr>
        <w:t>8.</w:t>
      </w:r>
      <w:r w:rsidRPr="00E52019">
        <w:rPr>
          <w:rFonts w:ascii="Titillium" w:hAnsi="Titillium"/>
          <w:b/>
        </w:rPr>
        <w:tab/>
        <w:t>DRUGI PODACI KOJE NARUČITELJ SMATRA POTREBNIMA</w:t>
      </w:r>
    </w:p>
    <w:p w14:paraId="2C12B5BD" w14:textId="77777777" w:rsidR="000168D4" w:rsidRPr="00005EB6" w:rsidRDefault="000168D4" w:rsidP="001A4DBC">
      <w:pPr>
        <w:pStyle w:val="NoSpacing"/>
        <w:ind w:firstLine="708"/>
        <w:jc w:val="both"/>
        <w:rPr>
          <w:rFonts w:ascii="Titillium" w:hAnsi="Titillium"/>
          <w:sz w:val="20"/>
          <w:szCs w:val="20"/>
        </w:rPr>
      </w:pPr>
    </w:p>
    <w:p w14:paraId="73619336" w14:textId="77777777" w:rsidR="00F17CD5" w:rsidRPr="00E52019" w:rsidRDefault="00E52019" w:rsidP="001A4DBC">
      <w:pPr>
        <w:pStyle w:val="NoSpacing"/>
        <w:jc w:val="both"/>
        <w:rPr>
          <w:rFonts w:ascii="Titillium" w:hAnsi="Titillium"/>
          <w:b/>
          <w:sz w:val="20"/>
          <w:szCs w:val="20"/>
        </w:rPr>
      </w:pPr>
      <w:r w:rsidRPr="00E52019">
        <w:rPr>
          <w:rFonts w:ascii="Titillium" w:hAnsi="Titillium"/>
          <w:b/>
          <w:sz w:val="20"/>
          <w:szCs w:val="20"/>
        </w:rPr>
        <w:t>8.1.</w:t>
      </w:r>
      <w:r w:rsidRPr="00E52019">
        <w:rPr>
          <w:rFonts w:ascii="Titillium" w:hAnsi="Titillium"/>
          <w:b/>
          <w:sz w:val="20"/>
          <w:szCs w:val="20"/>
        </w:rPr>
        <w:tab/>
        <w:t>Sklapanje i izvršenje ugovora o javnoj nabavi</w:t>
      </w:r>
    </w:p>
    <w:p w14:paraId="5E49B3BA" w14:textId="350CA7DC" w:rsidR="00E52019" w:rsidRDefault="00E52019" w:rsidP="001A4DBC">
      <w:pPr>
        <w:pStyle w:val="NoSpacing"/>
        <w:jc w:val="both"/>
        <w:rPr>
          <w:rFonts w:ascii="Titillium" w:hAnsi="Titillium"/>
          <w:sz w:val="20"/>
          <w:szCs w:val="20"/>
        </w:rPr>
      </w:pPr>
      <w:r w:rsidRPr="00E52019">
        <w:rPr>
          <w:rFonts w:ascii="Titillium" w:hAnsi="Titillium"/>
          <w:sz w:val="20"/>
          <w:szCs w:val="20"/>
        </w:rPr>
        <w:t>Ugovorne strane sklapaju ugovor o javnoj nabavi u pisanom obliku u</w:t>
      </w:r>
      <w:r w:rsidR="00DC12CF">
        <w:rPr>
          <w:rFonts w:ascii="Titillium" w:hAnsi="Titillium"/>
          <w:sz w:val="20"/>
          <w:szCs w:val="20"/>
        </w:rPr>
        <w:t xml:space="preserve"> roku od 30</w:t>
      </w:r>
      <w:r w:rsidRPr="00E52019">
        <w:rPr>
          <w:rFonts w:ascii="Titillium" w:hAnsi="Titillium"/>
          <w:sz w:val="20"/>
          <w:szCs w:val="20"/>
        </w:rPr>
        <w:t xml:space="preserve"> dana od da</w:t>
      </w:r>
      <w:r w:rsidR="00A30DBD">
        <w:rPr>
          <w:rFonts w:ascii="Titillium" w:hAnsi="Titillium"/>
          <w:sz w:val="20"/>
          <w:szCs w:val="20"/>
        </w:rPr>
        <w:t xml:space="preserve">na izvršnosti odluke o odabiru. </w:t>
      </w:r>
      <w:r w:rsidRPr="00E52019">
        <w:rPr>
          <w:rFonts w:ascii="Titillium" w:hAnsi="Titillium"/>
          <w:sz w:val="20"/>
          <w:szCs w:val="20"/>
        </w:rPr>
        <w:t>Ugovor o javnoj nabavi  mora biti sklopljen u skladu s uvjetima određenima dokumentaciji o nabavi i odabranom ponudom te ugovorne strane izvršavaju ugovor o javnoj nabavi u skladu s uvjetima određenima u dokumentaciji o nabavi i odabranom ponudom.</w:t>
      </w:r>
    </w:p>
    <w:p w14:paraId="0716C319" w14:textId="0ACB6FE1" w:rsidR="00E52019" w:rsidRPr="00E52019" w:rsidRDefault="00E52019" w:rsidP="001A4DBC">
      <w:pPr>
        <w:pStyle w:val="NoSpacing"/>
        <w:jc w:val="both"/>
        <w:rPr>
          <w:rFonts w:ascii="Titillium" w:hAnsi="Titillium"/>
          <w:sz w:val="20"/>
          <w:szCs w:val="20"/>
        </w:rPr>
      </w:pPr>
      <w:r w:rsidRPr="00E52019">
        <w:rPr>
          <w:rFonts w:ascii="Titillium" w:hAnsi="Titillium"/>
          <w:sz w:val="20"/>
          <w:szCs w:val="20"/>
        </w:rPr>
        <w:t>Naručitelj je obvezan kontrolirati je li izvršenje ugovora o javnoj nabavi u skladu s uvjetima određenima u dokumentaciji o nabavi i odabranom ponudom.</w:t>
      </w:r>
    </w:p>
    <w:p w14:paraId="0F4740B8" w14:textId="77777777" w:rsidR="00E52019" w:rsidRPr="00E52019" w:rsidRDefault="00E52019" w:rsidP="001A4DBC">
      <w:pPr>
        <w:pStyle w:val="NoSpacing"/>
        <w:jc w:val="both"/>
        <w:rPr>
          <w:rFonts w:ascii="Titillium" w:hAnsi="Titillium"/>
          <w:sz w:val="20"/>
          <w:szCs w:val="20"/>
        </w:rPr>
      </w:pPr>
      <w:r w:rsidRPr="00E52019">
        <w:rPr>
          <w:rFonts w:ascii="Titillium" w:hAnsi="Titillium"/>
          <w:sz w:val="20"/>
          <w:szCs w:val="20"/>
        </w:rPr>
        <w:t>Na odgovornost ugovornih strana za ispunjenje obveza iz ugovora o javnoj nabavi, uz odredbe ZJN 2016, na odgovarajući način primjenjuju se odredbe zakona kojim se uređuju obvezni odnosi.</w:t>
      </w:r>
    </w:p>
    <w:p w14:paraId="3B8A93E2" w14:textId="77777777" w:rsidR="00E52019" w:rsidRPr="00E52019" w:rsidRDefault="00E52019" w:rsidP="001A4DBC">
      <w:pPr>
        <w:pStyle w:val="NoSpacing"/>
        <w:jc w:val="both"/>
        <w:rPr>
          <w:rFonts w:ascii="Titillium" w:hAnsi="Titillium"/>
          <w:sz w:val="20"/>
          <w:szCs w:val="20"/>
        </w:rPr>
      </w:pPr>
    </w:p>
    <w:p w14:paraId="4E58120D" w14:textId="77777777" w:rsidR="00E52019" w:rsidRPr="00E52019" w:rsidRDefault="00E52019" w:rsidP="001A4DBC">
      <w:pPr>
        <w:pStyle w:val="NoSpacing"/>
        <w:jc w:val="both"/>
        <w:rPr>
          <w:rFonts w:ascii="Titillium" w:hAnsi="Titillium"/>
          <w:b/>
          <w:sz w:val="20"/>
          <w:szCs w:val="20"/>
        </w:rPr>
      </w:pPr>
      <w:r w:rsidRPr="00E52019">
        <w:rPr>
          <w:rFonts w:ascii="Titillium" w:hAnsi="Titillium"/>
          <w:b/>
          <w:sz w:val="20"/>
          <w:szCs w:val="20"/>
        </w:rPr>
        <w:t>8.2.</w:t>
      </w:r>
      <w:r w:rsidRPr="00E52019">
        <w:rPr>
          <w:rFonts w:ascii="Titillium" w:hAnsi="Titillium"/>
          <w:b/>
          <w:sz w:val="20"/>
          <w:szCs w:val="20"/>
        </w:rPr>
        <w:tab/>
        <w:t>Tajnost dokumentacije gospodarskih subjekata</w:t>
      </w:r>
    </w:p>
    <w:p w14:paraId="23B96B78" w14:textId="1F0F0D4A" w:rsidR="00E52019" w:rsidRDefault="00E52019" w:rsidP="001A4DBC">
      <w:pPr>
        <w:pStyle w:val="NoSpacing"/>
        <w:jc w:val="both"/>
        <w:rPr>
          <w:rFonts w:ascii="Titillium" w:hAnsi="Titillium"/>
          <w:sz w:val="20"/>
          <w:szCs w:val="20"/>
        </w:rPr>
      </w:pPr>
      <w:r w:rsidRPr="00E52019">
        <w:rPr>
          <w:rFonts w:ascii="Titillium" w:hAnsi="Titillium"/>
          <w:sz w:val="20"/>
          <w:szCs w:val="20"/>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2.ZJN 2016, u uvodnom dijelu dokumenta kojeg označi tajnom, navesti pravnu osnovu na temelju koje su ti podaci označeni tajnima. </w:t>
      </w:r>
    </w:p>
    <w:p w14:paraId="1F7D9EEF" w14:textId="77777777" w:rsidR="0065742F" w:rsidRPr="00E52019" w:rsidRDefault="0065742F" w:rsidP="001A4DBC">
      <w:pPr>
        <w:pStyle w:val="NoSpacing"/>
        <w:jc w:val="both"/>
        <w:rPr>
          <w:rFonts w:ascii="Titillium" w:hAnsi="Titillium"/>
          <w:sz w:val="20"/>
          <w:szCs w:val="20"/>
        </w:rPr>
      </w:pPr>
    </w:p>
    <w:p w14:paraId="56E279DE" w14:textId="3B643624" w:rsidR="00A30DBD" w:rsidRDefault="00E52019" w:rsidP="0065742F">
      <w:pPr>
        <w:pStyle w:val="NoSpacing"/>
        <w:jc w:val="both"/>
        <w:rPr>
          <w:rFonts w:ascii="Titillium" w:hAnsi="Titillium"/>
          <w:sz w:val="20"/>
          <w:szCs w:val="20"/>
        </w:rPr>
      </w:pPr>
      <w:r w:rsidRPr="00E52019">
        <w:rPr>
          <w:rFonts w:ascii="Titillium" w:hAnsi="Titillium"/>
          <w:sz w:val="20"/>
          <w:szCs w:val="20"/>
        </w:rPr>
        <w:t>Sukladno članku 52. stavak 3.ZJN 2016, gospodarski subjekti ne smiju u postupcima javne nabave označiti tajnom:</w:t>
      </w:r>
      <w:r w:rsidR="0065742F">
        <w:rPr>
          <w:rFonts w:ascii="Titillium" w:hAnsi="Titillium"/>
          <w:sz w:val="20"/>
          <w:szCs w:val="20"/>
        </w:rPr>
        <w:t xml:space="preserve"> cijenu ponude, </w:t>
      </w:r>
      <w:r w:rsidRPr="00E52019">
        <w:rPr>
          <w:rFonts w:ascii="Titillium" w:hAnsi="Titillium"/>
          <w:sz w:val="20"/>
          <w:szCs w:val="20"/>
        </w:rPr>
        <w:t>troškovnik,</w:t>
      </w:r>
      <w:r w:rsidR="0065742F">
        <w:rPr>
          <w:rFonts w:ascii="Titillium" w:hAnsi="Titillium"/>
          <w:sz w:val="20"/>
          <w:szCs w:val="20"/>
        </w:rPr>
        <w:t xml:space="preserve"> katalog,  </w:t>
      </w:r>
      <w:r w:rsidRPr="00E52019">
        <w:rPr>
          <w:rFonts w:ascii="Titillium" w:hAnsi="Titillium"/>
          <w:sz w:val="20"/>
          <w:szCs w:val="20"/>
        </w:rPr>
        <w:t xml:space="preserve">podatke u vezi </w:t>
      </w:r>
      <w:r w:rsidR="0065742F">
        <w:rPr>
          <w:rFonts w:ascii="Titillium" w:hAnsi="Titillium"/>
          <w:sz w:val="20"/>
          <w:szCs w:val="20"/>
        </w:rPr>
        <w:t xml:space="preserve">s kriterijima za odabir ponude, javne isprave, izvatke iz javnih registara te </w:t>
      </w:r>
      <w:r w:rsidRPr="00E52019">
        <w:rPr>
          <w:rFonts w:ascii="Titillium" w:hAnsi="Titillium"/>
          <w:sz w:val="20"/>
          <w:szCs w:val="20"/>
        </w:rPr>
        <w:t>druge podatke koji s</w:t>
      </w:r>
      <w:r w:rsidR="00240708">
        <w:rPr>
          <w:rFonts w:ascii="Titillium" w:hAnsi="Titillium"/>
          <w:sz w:val="20"/>
          <w:szCs w:val="20"/>
        </w:rPr>
        <w:t xml:space="preserve">e prema posebnom zakonu ili </w:t>
      </w:r>
      <w:proofErr w:type="spellStart"/>
      <w:r w:rsidR="00240708">
        <w:rPr>
          <w:rFonts w:ascii="Titillium" w:hAnsi="Titillium"/>
          <w:sz w:val="20"/>
          <w:szCs w:val="20"/>
        </w:rPr>
        <w:t>pod</w:t>
      </w:r>
      <w:r w:rsidRPr="00E52019">
        <w:rPr>
          <w:rFonts w:ascii="Titillium" w:hAnsi="Titillium"/>
          <w:sz w:val="20"/>
          <w:szCs w:val="20"/>
        </w:rPr>
        <w:t>z</w:t>
      </w:r>
      <w:r w:rsidR="00240708">
        <w:rPr>
          <w:rFonts w:ascii="Titillium" w:hAnsi="Titillium"/>
          <w:sz w:val="20"/>
          <w:szCs w:val="20"/>
        </w:rPr>
        <w:t>a</w:t>
      </w:r>
      <w:r w:rsidRPr="00E52019">
        <w:rPr>
          <w:rFonts w:ascii="Titillium" w:hAnsi="Titillium"/>
          <w:sz w:val="20"/>
          <w:szCs w:val="20"/>
        </w:rPr>
        <w:t>konskom</w:t>
      </w:r>
      <w:proofErr w:type="spellEnd"/>
      <w:r w:rsidRPr="00E52019">
        <w:rPr>
          <w:rFonts w:ascii="Titillium" w:hAnsi="Titillium"/>
          <w:sz w:val="20"/>
          <w:szCs w:val="20"/>
        </w:rPr>
        <w:t xml:space="preserve"> propisu moraju javno objaviti ili se ne smiju označiti tajnom. </w:t>
      </w:r>
    </w:p>
    <w:p w14:paraId="3158BB31" w14:textId="77777777" w:rsidR="0065742F" w:rsidRDefault="0065742F" w:rsidP="001A4DBC">
      <w:pPr>
        <w:pStyle w:val="NoSpacing"/>
        <w:jc w:val="both"/>
        <w:rPr>
          <w:rFonts w:ascii="Titillium" w:hAnsi="Titillium"/>
          <w:sz w:val="20"/>
          <w:szCs w:val="20"/>
        </w:rPr>
      </w:pPr>
    </w:p>
    <w:p w14:paraId="18501E6D" w14:textId="7A6C8C8B" w:rsidR="0065742F" w:rsidRPr="00E52019" w:rsidRDefault="00E52019" w:rsidP="001A4DBC">
      <w:pPr>
        <w:pStyle w:val="NoSpacing"/>
        <w:jc w:val="both"/>
        <w:rPr>
          <w:rFonts w:ascii="Titillium" w:hAnsi="Titillium"/>
          <w:sz w:val="20"/>
          <w:szCs w:val="20"/>
        </w:rPr>
      </w:pPr>
      <w:r w:rsidRPr="00E52019">
        <w:rPr>
          <w:rFonts w:ascii="Titillium" w:hAnsi="Titillium"/>
          <w:sz w:val="20"/>
          <w:szCs w:val="2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73BEF1A0" w14:textId="77777777" w:rsidR="00E52019" w:rsidRPr="00E52019" w:rsidRDefault="00E52019" w:rsidP="001A4DBC">
      <w:pPr>
        <w:pStyle w:val="NoSpacing"/>
        <w:jc w:val="both"/>
        <w:rPr>
          <w:rFonts w:ascii="Titillium" w:hAnsi="Titillium"/>
          <w:sz w:val="20"/>
          <w:szCs w:val="20"/>
        </w:rPr>
      </w:pPr>
      <w:r w:rsidRPr="00E52019">
        <w:rPr>
          <w:rFonts w:ascii="Titillium" w:hAnsi="Titillium"/>
          <w:sz w:val="20"/>
          <w:szCs w:val="20"/>
        </w:rPr>
        <w:t>Naručitelj smije otkriti podatke iz članka 52. stavka 3. ZJN 2016 dobivene od gospodarskih subjekata koje su oni označili tajnom.</w:t>
      </w:r>
    </w:p>
    <w:p w14:paraId="1AE165AF" w14:textId="2DA0787B" w:rsidR="00E52019" w:rsidRDefault="00E52019" w:rsidP="001A4DBC">
      <w:pPr>
        <w:pStyle w:val="NoSpacing"/>
        <w:jc w:val="both"/>
        <w:rPr>
          <w:rFonts w:ascii="Titillium" w:hAnsi="Titillium"/>
          <w:sz w:val="20"/>
          <w:szCs w:val="20"/>
        </w:rPr>
      </w:pPr>
      <w:r w:rsidRPr="00E52019">
        <w:rPr>
          <w:rFonts w:ascii="Titillium" w:hAnsi="Titillium"/>
          <w:sz w:val="20"/>
          <w:szCs w:val="20"/>
        </w:rPr>
        <w:t>Sukladno ovoj Dokumentaciji o nabavi za dokaze sposobnosti ponuditelja, svi zahtijevani dokumenti su javnog karaktera i nema potrebe za označavanjem istih poslovnom tajnom.</w:t>
      </w:r>
    </w:p>
    <w:p w14:paraId="003AE2A0" w14:textId="77777777" w:rsidR="00A30DBD" w:rsidRDefault="00A30DBD" w:rsidP="001A4DBC">
      <w:pPr>
        <w:pStyle w:val="NoSpacing"/>
        <w:jc w:val="both"/>
        <w:rPr>
          <w:rFonts w:ascii="Titillium" w:hAnsi="Titillium"/>
          <w:sz w:val="20"/>
          <w:szCs w:val="20"/>
        </w:rPr>
      </w:pPr>
    </w:p>
    <w:p w14:paraId="67EBB266" w14:textId="30AC6669" w:rsidR="00E52019" w:rsidRPr="00E52019" w:rsidRDefault="00E52019" w:rsidP="000168D4">
      <w:pPr>
        <w:pStyle w:val="NoSpacing"/>
        <w:jc w:val="both"/>
        <w:rPr>
          <w:rFonts w:ascii="Titillium" w:hAnsi="Titillium"/>
          <w:b/>
          <w:sz w:val="20"/>
          <w:szCs w:val="20"/>
        </w:rPr>
      </w:pPr>
      <w:r w:rsidRPr="00E52019">
        <w:rPr>
          <w:rFonts w:ascii="Titillium" w:hAnsi="Titillium"/>
          <w:b/>
          <w:sz w:val="20"/>
          <w:szCs w:val="20"/>
        </w:rPr>
        <w:t>8.3.</w:t>
      </w:r>
      <w:r w:rsidRPr="00E52019">
        <w:rPr>
          <w:rFonts w:ascii="Titillium" w:hAnsi="Titillium"/>
          <w:b/>
          <w:sz w:val="20"/>
          <w:szCs w:val="20"/>
        </w:rPr>
        <w:tab/>
        <w:t>Uvid u dokumentaciju postupka javne nabave</w:t>
      </w:r>
    </w:p>
    <w:p w14:paraId="5827DE5A" w14:textId="488B54CE" w:rsidR="00E52019" w:rsidRPr="00E52019" w:rsidRDefault="00E52019" w:rsidP="000168D4">
      <w:pPr>
        <w:pStyle w:val="NoSpacing"/>
        <w:jc w:val="both"/>
        <w:rPr>
          <w:rFonts w:ascii="Titillium" w:hAnsi="Titillium"/>
          <w:sz w:val="20"/>
          <w:szCs w:val="20"/>
        </w:rPr>
      </w:pPr>
      <w:r w:rsidRPr="00E52019">
        <w:rPr>
          <w:rFonts w:ascii="Titillium" w:hAnsi="Titillium"/>
          <w:sz w:val="20"/>
          <w:szCs w:val="20"/>
        </w:rPr>
        <w:t xml:space="preserve">Naručitelj </w:t>
      </w:r>
      <w:r w:rsidR="00F43CD9">
        <w:rPr>
          <w:rFonts w:ascii="Titillium" w:hAnsi="Titillium"/>
          <w:sz w:val="20"/>
          <w:szCs w:val="20"/>
        </w:rPr>
        <w:t xml:space="preserve">je </w:t>
      </w:r>
      <w:r w:rsidRPr="00E52019">
        <w:rPr>
          <w:rFonts w:ascii="Titillium" w:hAnsi="Titillium"/>
          <w:sz w:val="20"/>
          <w:szCs w:val="20"/>
        </w:rPr>
        <w:t>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0C8A00BC" w14:textId="77777777" w:rsidR="00E52019" w:rsidRPr="00E52019" w:rsidRDefault="00E52019" w:rsidP="001A4DBC">
      <w:pPr>
        <w:pStyle w:val="NoSpacing"/>
        <w:jc w:val="both"/>
        <w:rPr>
          <w:rFonts w:ascii="Titillium" w:hAnsi="Titillium"/>
          <w:sz w:val="20"/>
          <w:szCs w:val="20"/>
        </w:rPr>
      </w:pPr>
    </w:p>
    <w:p w14:paraId="254ADE33" w14:textId="77777777" w:rsidR="00E52019" w:rsidRPr="00E52019" w:rsidRDefault="00E52019" w:rsidP="001A4DBC">
      <w:pPr>
        <w:pStyle w:val="NoSpacing"/>
        <w:jc w:val="both"/>
        <w:rPr>
          <w:rFonts w:ascii="Titillium" w:hAnsi="Titillium"/>
          <w:b/>
          <w:sz w:val="20"/>
          <w:szCs w:val="20"/>
        </w:rPr>
      </w:pPr>
      <w:r w:rsidRPr="00E52019">
        <w:rPr>
          <w:rFonts w:ascii="Titillium" w:hAnsi="Titillium"/>
          <w:b/>
          <w:sz w:val="20"/>
          <w:szCs w:val="20"/>
        </w:rPr>
        <w:t>8.4.</w:t>
      </w:r>
      <w:r w:rsidRPr="00E52019">
        <w:rPr>
          <w:rFonts w:ascii="Titillium" w:hAnsi="Titillium"/>
          <w:b/>
          <w:sz w:val="20"/>
          <w:szCs w:val="20"/>
        </w:rPr>
        <w:tab/>
        <w:t>Rok mirovanja</w:t>
      </w:r>
    </w:p>
    <w:p w14:paraId="5B05A341" w14:textId="5E22C5EA" w:rsidR="00D069E9" w:rsidRPr="00807F4E" w:rsidRDefault="00E52019" w:rsidP="00807F4E">
      <w:pPr>
        <w:pStyle w:val="NoSpacing"/>
        <w:jc w:val="both"/>
        <w:rPr>
          <w:rFonts w:ascii="Titillium" w:hAnsi="Titillium"/>
          <w:sz w:val="20"/>
          <w:szCs w:val="20"/>
        </w:rPr>
      </w:pPr>
      <w:r w:rsidRPr="00E52019">
        <w:rPr>
          <w:rFonts w:ascii="Titillium" w:hAnsi="Titillium"/>
          <w:sz w:val="20"/>
          <w:szCs w:val="20"/>
        </w:rPr>
        <w:t xml:space="preserve">Rok mirovanja iznosi </w:t>
      </w:r>
      <w:r w:rsidRPr="00E52019">
        <w:rPr>
          <w:rFonts w:ascii="Titillium" w:hAnsi="Titillium"/>
          <w:b/>
          <w:sz w:val="20"/>
          <w:szCs w:val="20"/>
        </w:rPr>
        <w:t>15 dana od dana dostave odluke o odabiru</w:t>
      </w:r>
      <w:r w:rsidR="00807F4E">
        <w:rPr>
          <w:rFonts w:ascii="Titillium" w:hAnsi="Titillium"/>
          <w:sz w:val="20"/>
          <w:szCs w:val="20"/>
        </w:rPr>
        <w:t>.</w:t>
      </w:r>
    </w:p>
    <w:p w14:paraId="0254CF0E" w14:textId="77777777" w:rsidR="00D069E9" w:rsidRDefault="00D069E9" w:rsidP="00273C29">
      <w:pPr>
        <w:pStyle w:val="NoSpacing"/>
        <w:rPr>
          <w:rFonts w:ascii="Titillium" w:hAnsi="Titillium"/>
          <w:b/>
        </w:rPr>
      </w:pPr>
    </w:p>
    <w:p w14:paraId="0A9808C8" w14:textId="77777777" w:rsidR="00D069E9" w:rsidRDefault="00D069E9" w:rsidP="00273C29">
      <w:pPr>
        <w:pStyle w:val="NoSpacing"/>
        <w:rPr>
          <w:rFonts w:ascii="Titillium" w:hAnsi="Titillium"/>
          <w:b/>
        </w:rPr>
      </w:pPr>
    </w:p>
    <w:p w14:paraId="02CCA7DA" w14:textId="29C568EA" w:rsidR="00D069E9" w:rsidRPr="002A6078" w:rsidRDefault="00D069E9" w:rsidP="00273C29">
      <w:pPr>
        <w:pStyle w:val="NoSpacing"/>
        <w:rPr>
          <w:rFonts w:ascii="Titillium" w:hAnsi="Titillium"/>
          <w:b/>
        </w:rPr>
      </w:pPr>
    </w:p>
    <w:sectPr w:rsidR="00D069E9" w:rsidRPr="002A6078" w:rsidSect="00434F63">
      <w:headerReference w:type="default" r:id="rId22"/>
      <w:footerReference w:type="default" r:id="rId23"/>
      <w:headerReference w:type="first" r:id="rId24"/>
      <w:footerReference w:type="first" r:id="rId25"/>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1669D" w14:textId="77777777" w:rsidR="001545ED" w:rsidRDefault="001545ED" w:rsidP="008B387C">
      <w:pPr>
        <w:spacing w:after="0" w:line="240" w:lineRule="auto"/>
      </w:pPr>
      <w:r>
        <w:separator/>
      </w:r>
    </w:p>
  </w:endnote>
  <w:endnote w:type="continuationSeparator" w:id="0">
    <w:p w14:paraId="27DE0600" w14:textId="77777777" w:rsidR="001545ED" w:rsidRDefault="001545ED" w:rsidP="008B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RO_Calligraph-Ital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tillium">
    <w:panose1 w:val="00000000000000000000"/>
    <w:charset w:val="00"/>
    <w:family w:val="modern"/>
    <w:notTrueType/>
    <w:pitch w:val="variable"/>
    <w:sig w:usb0="00000007" w:usb1="00000001" w:usb2="00000000" w:usb3="00000000" w:csb0="00000093"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tillium Lt">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16828" w14:textId="7D54A63E" w:rsidR="00275FDB" w:rsidRDefault="00275FDB">
    <w:pPr>
      <w:tabs>
        <w:tab w:val="center" w:pos="4550"/>
        <w:tab w:val="left" w:pos="5818"/>
      </w:tabs>
      <w:ind w:right="260"/>
      <w:jc w:val="right"/>
      <w:rPr>
        <w:rFonts w:ascii="Titillium" w:hAnsi="Titillium"/>
        <w:color w:val="323E4F" w:themeColor="text2" w:themeShade="BF"/>
        <w:sz w:val="16"/>
        <w:szCs w:val="16"/>
      </w:rPr>
    </w:pPr>
    <w:r w:rsidRPr="00434F63">
      <w:rPr>
        <w:rFonts w:ascii="Titillium" w:hAnsi="Titillium"/>
        <w:color w:val="8496B0" w:themeColor="text2" w:themeTint="99"/>
        <w:spacing w:val="60"/>
        <w:sz w:val="16"/>
        <w:szCs w:val="16"/>
      </w:rPr>
      <w:t>stranica</w:t>
    </w:r>
    <w:r w:rsidRPr="00434F63">
      <w:rPr>
        <w:rFonts w:ascii="Titillium" w:hAnsi="Titillium"/>
        <w:color w:val="8496B0" w:themeColor="text2" w:themeTint="99"/>
        <w:sz w:val="16"/>
        <w:szCs w:val="16"/>
      </w:rPr>
      <w:t xml:space="preserve"> </w:t>
    </w:r>
    <w:r w:rsidRPr="00434F63">
      <w:rPr>
        <w:rFonts w:ascii="Titillium" w:hAnsi="Titillium"/>
        <w:color w:val="323E4F" w:themeColor="text2" w:themeShade="BF"/>
        <w:sz w:val="16"/>
        <w:szCs w:val="16"/>
      </w:rPr>
      <w:fldChar w:fldCharType="begin"/>
    </w:r>
    <w:r w:rsidRPr="00434F63">
      <w:rPr>
        <w:rFonts w:ascii="Titillium" w:hAnsi="Titillium"/>
        <w:color w:val="323E4F" w:themeColor="text2" w:themeShade="BF"/>
        <w:sz w:val="16"/>
        <w:szCs w:val="16"/>
      </w:rPr>
      <w:instrText xml:space="preserve"> PAGE   \* MERGEFORMAT </w:instrText>
    </w:r>
    <w:r w:rsidRPr="00434F63">
      <w:rPr>
        <w:rFonts w:ascii="Titillium" w:hAnsi="Titillium"/>
        <w:color w:val="323E4F" w:themeColor="text2" w:themeShade="BF"/>
        <w:sz w:val="16"/>
        <w:szCs w:val="16"/>
      </w:rPr>
      <w:fldChar w:fldCharType="separate"/>
    </w:r>
    <w:r w:rsidR="00E76449">
      <w:rPr>
        <w:rFonts w:ascii="Titillium" w:hAnsi="Titillium"/>
        <w:noProof/>
        <w:color w:val="323E4F" w:themeColor="text2" w:themeShade="BF"/>
        <w:sz w:val="16"/>
        <w:szCs w:val="16"/>
      </w:rPr>
      <w:t>29</w:t>
    </w:r>
    <w:r w:rsidRPr="00434F63">
      <w:rPr>
        <w:rFonts w:ascii="Titillium" w:hAnsi="Titillium"/>
        <w:color w:val="323E4F" w:themeColor="text2" w:themeShade="BF"/>
        <w:sz w:val="16"/>
        <w:szCs w:val="16"/>
      </w:rPr>
      <w:fldChar w:fldCharType="end"/>
    </w:r>
    <w:r w:rsidRPr="00434F63">
      <w:rPr>
        <w:rFonts w:ascii="Titillium" w:hAnsi="Titillium"/>
        <w:color w:val="323E4F" w:themeColor="text2" w:themeShade="BF"/>
        <w:sz w:val="16"/>
        <w:szCs w:val="16"/>
      </w:rPr>
      <w:t xml:space="preserve"> | </w:t>
    </w:r>
    <w:r w:rsidRPr="00434F63">
      <w:rPr>
        <w:rFonts w:ascii="Titillium" w:hAnsi="Titillium"/>
        <w:color w:val="323E4F" w:themeColor="text2" w:themeShade="BF"/>
        <w:sz w:val="16"/>
        <w:szCs w:val="16"/>
      </w:rPr>
      <w:fldChar w:fldCharType="begin"/>
    </w:r>
    <w:r w:rsidRPr="00434F63">
      <w:rPr>
        <w:rFonts w:ascii="Titillium" w:hAnsi="Titillium"/>
        <w:color w:val="323E4F" w:themeColor="text2" w:themeShade="BF"/>
        <w:sz w:val="16"/>
        <w:szCs w:val="16"/>
      </w:rPr>
      <w:instrText xml:space="preserve"> NUMPAGES  \* Arabic  \* MERGEFORMAT </w:instrText>
    </w:r>
    <w:r w:rsidRPr="00434F63">
      <w:rPr>
        <w:rFonts w:ascii="Titillium" w:hAnsi="Titillium"/>
        <w:color w:val="323E4F" w:themeColor="text2" w:themeShade="BF"/>
        <w:sz w:val="16"/>
        <w:szCs w:val="16"/>
      </w:rPr>
      <w:fldChar w:fldCharType="separate"/>
    </w:r>
    <w:r w:rsidR="00E76449">
      <w:rPr>
        <w:rFonts w:ascii="Titillium" w:hAnsi="Titillium"/>
        <w:noProof/>
        <w:color w:val="323E4F" w:themeColor="text2" w:themeShade="BF"/>
        <w:sz w:val="16"/>
        <w:szCs w:val="16"/>
      </w:rPr>
      <w:t>29</w:t>
    </w:r>
    <w:r w:rsidRPr="00434F63">
      <w:rPr>
        <w:rFonts w:ascii="Titillium" w:hAnsi="Titillium"/>
        <w:color w:val="323E4F" w:themeColor="text2" w:themeShade="BF"/>
        <w:sz w:val="16"/>
        <w:szCs w:val="16"/>
      </w:rPr>
      <w:fldChar w:fldCharType="end"/>
    </w:r>
  </w:p>
  <w:p w14:paraId="6FD56F24" w14:textId="77777777" w:rsidR="00275FDB" w:rsidRPr="00434F63" w:rsidRDefault="00275FDB">
    <w:pPr>
      <w:tabs>
        <w:tab w:val="center" w:pos="4550"/>
        <w:tab w:val="left" w:pos="5818"/>
      </w:tabs>
      <w:ind w:right="260"/>
      <w:jc w:val="right"/>
      <w:rPr>
        <w:rFonts w:ascii="Titillium" w:hAnsi="Titillium"/>
        <w:color w:val="222A35" w:themeColor="text2" w:themeShade="80"/>
        <w:sz w:val="16"/>
        <w:szCs w:val="16"/>
      </w:rPr>
    </w:pPr>
  </w:p>
  <w:p w14:paraId="6A15A326" w14:textId="77777777" w:rsidR="00275FDB" w:rsidRDefault="00275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CBA1" w14:textId="77777777" w:rsidR="00275FDB" w:rsidRPr="00152339" w:rsidRDefault="00275FDB" w:rsidP="00434F63">
    <w:pPr>
      <w:pStyle w:val="BasicParagraph"/>
      <w:tabs>
        <w:tab w:val="center" w:pos="58"/>
        <w:tab w:val="left" w:pos="212"/>
        <w:tab w:val="left" w:pos="382"/>
      </w:tabs>
      <w:suppressAutoHyphens/>
      <w:rPr>
        <w:rFonts w:ascii="Titillium" w:hAnsi="Titillium" w:cs="Titillium Lt"/>
        <w:color w:val="656565"/>
        <w:spacing w:val="3"/>
        <w:sz w:val="17"/>
        <w:szCs w:val="17"/>
      </w:rPr>
    </w:pPr>
    <w:r w:rsidRPr="00152339">
      <w:rPr>
        <w:rFonts w:ascii="Titillium" w:hAnsi="Titillium"/>
        <w:color w:val="2F5496" w:themeColor="accent5" w:themeShade="BF"/>
        <w:sz w:val="14"/>
        <w:szCs w:val="16"/>
      </w:rPr>
      <w:t>T</w:t>
    </w:r>
    <w:r w:rsidRPr="00152339">
      <w:rPr>
        <w:rFonts w:ascii="Titillium" w:hAnsi="Titillium"/>
        <w:color w:val="2F5496" w:themeColor="accent5" w:themeShade="BF"/>
        <w:sz w:val="14"/>
        <w:szCs w:val="16"/>
      </w:rPr>
      <w:tab/>
    </w:r>
    <w:r>
      <w:rPr>
        <w:rFonts w:ascii="Titillium Lt" w:hAnsi="Titillium Lt" w:cs="Titillium Lt"/>
        <w:color w:val="656565"/>
        <w:spacing w:val="3"/>
        <w:sz w:val="17"/>
        <w:szCs w:val="17"/>
      </w:rPr>
      <w:t>+385 01 4682500</w:t>
    </w:r>
  </w:p>
  <w:p w14:paraId="55B79390" w14:textId="77777777" w:rsidR="00275FDB" w:rsidRPr="00152339" w:rsidRDefault="00275FDB" w:rsidP="00434F63">
    <w:pPr>
      <w:pStyle w:val="BasicParagraph"/>
      <w:tabs>
        <w:tab w:val="center" w:pos="58"/>
        <w:tab w:val="left" w:pos="212"/>
        <w:tab w:val="left" w:pos="382"/>
      </w:tabs>
      <w:suppressAutoHyphens/>
      <w:rPr>
        <w:rFonts w:ascii="Titillium" w:hAnsi="Titillium" w:cs="Titillium Lt"/>
        <w:color w:val="656565"/>
        <w:spacing w:val="3"/>
        <w:sz w:val="17"/>
        <w:szCs w:val="17"/>
      </w:rPr>
    </w:pPr>
    <w:r w:rsidRPr="00152339">
      <w:rPr>
        <w:rFonts w:ascii="Titillium" w:hAnsi="Titillium"/>
        <w:color w:val="2F5496" w:themeColor="accent5" w:themeShade="BF"/>
        <w:sz w:val="14"/>
        <w:szCs w:val="16"/>
      </w:rPr>
      <w:t>E</w:t>
    </w:r>
    <w:r w:rsidRPr="00152339">
      <w:rPr>
        <w:rFonts w:ascii="Titillium" w:hAnsi="Titillium"/>
        <w:color w:val="2F5496" w:themeColor="accent5" w:themeShade="BF"/>
        <w:sz w:val="14"/>
        <w:szCs w:val="16"/>
      </w:rPr>
      <w:tab/>
    </w:r>
    <w:r w:rsidRPr="00432927">
      <w:rPr>
        <w:rFonts w:ascii="Titillium Lt" w:hAnsi="Titillium Lt" w:cs="Titillium Lt"/>
        <w:color w:val="656565"/>
        <w:spacing w:val="3"/>
        <w:sz w:val="17"/>
        <w:szCs w:val="17"/>
      </w:rPr>
      <w:t>info@imi.hr</w:t>
    </w:r>
  </w:p>
  <w:p w14:paraId="7EA4DE5D" w14:textId="77777777" w:rsidR="00275FDB" w:rsidRPr="0021783E" w:rsidRDefault="00275FDB" w:rsidP="00434F63">
    <w:pPr>
      <w:pStyle w:val="BasicParagraph"/>
      <w:tabs>
        <w:tab w:val="center" w:pos="58"/>
        <w:tab w:val="left" w:pos="212"/>
        <w:tab w:val="left" w:pos="382"/>
      </w:tabs>
      <w:suppressAutoHyphens/>
      <w:rPr>
        <w:rFonts w:ascii="Titillium Lt" w:hAnsi="Titillium Lt" w:cs="Titillium Lt"/>
        <w:spacing w:val="3"/>
        <w:sz w:val="17"/>
        <w:szCs w:val="17"/>
      </w:rPr>
    </w:pPr>
    <w:r w:rsidRPr="00152339">
      <w:rPr>
        <w:rFonts w:ascii="Titillium" w:hAnsi="Titillium"/>
        <w:color w:val="2F5496" w:themeColor="accent5" w:themeShade="BF"/>
        <w:sz w:val="14"/>
        <w:szCs w:val="16"/>
      </w:rPr>
      <w:t>A</w:t>
    </w:r>
    <w:r>
      <w:rPr>
        <w:sz w:val="14"/>
        <w:szCs w:val="16"/>
      </w:rPr>
      <w:tab/>
    </w:r>
    <w:r w:rsidRPr="0021783E">
      <w:rPr>
        <w:rFonts w:ascii="Titillium Lt" w:hAnsi="Titillium Lt" w:cs="Titillium Lt"/>
        <w:color w:val="656565"/>
        <w:spacing w:val="3"/>
        <w:sz w:val="17"/>
        <w:szCs w:val="17"/>
      </w:rPr>
      <w:t xml:space="preserve">Ksaverska cesta 2, 10 001 Zagreb </w:t>
    </w:r>
  </w:p>
  <w:p w14:paraId="15F39AF0" w14:textId="77777777" w:rsidR="00275FDB" w:rsidRDefault="00275FDB" w:rsidP="00434F63">
    <w:pPr>
      <w:tabs>
        <w:tab w:val="center" w:pos="58"/>
        <w:tab w:val="left" w:pos="212"/>
        <w:tab w:val="left" w:pos="382"/>
      </w:tabs>
      <w:suppressAutoHyphens/>
      <w:autoSpaceDE w:val="0"/>
      <w:autoSpaceDN w:val="0"/>
      <w:adjustRightInd w:val="0"/>
      <w:spacing w:after="0" w:line="288" w:lineRule="auto"/>
      <w:textAlignment w:val="center"/>
      <w:rPr>
        <w:rFonts w:ascii="Titillium Lt" w:hAnsi="Titillium Lt" w:cs="Titillium Lt"/>
        <w:color w:val="000000"/>
        <w:spacing w:val="3"/>
        <w:sz w:val="17"/>
        <w:szCs w:val="17"/>
        <w:lang w:val="en-US"/>
      </w:rPr>
    </w:pPr>
    <w:r>
      <w:rPr>
        <w:rFonts w:ascii="Titillium Lt" w:hAnsi="Titillium Lt" w:cs="Titillium Lt"/>
        <w:color w:val="000000"/>
        <w:spacing w:val="3"/>
        <w:sz w:val="17"/>
        <w:szCs w:val="17"/>
        <w:lang w:val="en-US"/>
      </w:rPr>
      <w:tab/>
    </w:r>
    <w:r>
      <w:rPr>
        <w:rFonts w:ascii="Titillium Lt" w:hAnsi="Titillium Lt" w:cs="Titillium Lt"/>
        <w:color w:val="000000"/>
        <w:spacing w:val="3"/>
        <w:sz w:val="17"/>
        <w:szCs w:val="17"/>
        <w:lang w:val="en-US"/>
      </w:rPr>
      <w:tab/>
    </w:r>
    <w:r w:rsidRPr="0021783E">
      <w:rPr>
        <w:rFonts w:ascii="Titillium Lt" w:hAnsi="Titillium Lt" w:cs="Titillium Lt"/>
        <w:color w:val="656565"/>
        <w:spacing w:val="3"/>
        <w:sz w:val="17"/>
        <w:szCs w:val="17"/>
        <w:lang w:val="en-US"/>
      </w:rPr>
      <w:t>PO Box 291, Croatia</w:t>
    </w:r>
  </w:p>
  <w:p w14:paraId="3D8B941F" w14:textId="77777777" w:rsidR="00275FDB" w:rsidRPr="0021783E" w:rsidRDefault="00275FDB" w:rsidP="00434F63">
    <w:pPr>
      <w:tabs>
        <w:tab w:val="center" w:pos="58"/>
        <w:tab w:val="left" w:pos="212"/>
        <w:tab w:val="left" w:pos="382"/>
      </w:tabs>
      <w:suppressAutoHyphens/>
      <w:autoSpaceDE w:val="0"/>
      <w:autoSpaceDN w:val="0"/>
      <w:adjustRightInd w:val="0"/>
      <w:spacing w:after="0" w:line="288" w:lineRule="auto"/>
      <w:textAlignment w:val="center"/>
      <w:rPr>
        <w:rFonts w:ascii="Titillium" w:hAnsi="Titillium" w:cs="Titillium Lt"/>
        <w:color w:val="000000"/>
        <w:spacing w:val="3"/>
        <w:sz w:val="17"/>
        <w:szCs w:val="17"/>
        <w:lang w:val="en-US"/>
      </w:rPr>
    </w:pPr>
    <w:r w:rsidRPr="00152339">
      <w:rPr>
        <w:rFonts w:ascii="Titillium" w:hAnsi="Titillium"/>
        <w:color w:val="2F5496" w:themeColor="accent5" w:themeShade="BF"/>
        <w:sz w:val="14"/>
        <w:szCs w:val="16"/>
      </w:rPr>
      <w:t>W</w:t>
    </w:r>
    <w:r w:rsidRPr="0021783E">
      <w:rPr>
        <w:rFonts w:ascii="Titillium" w:hAnsi="Titillium"/>
        <w:sz w:val="14"/>
        <w:szCs w:val="16"/>
      </w:rPr>
      <w:tab/>
    </w:r>
    <w:r w:rsidRPr="00432927">
      <w:rPr>
        <w:rFonts w:ascii="Titillium Lt" w:hAnsi="Titillium Lt" w:cs="Titillium Lt"/>
        <w:color w:val="656565"/>
        <w:spacing w:val="3"/>
        <w:sz w:val="17"/>
        <w:szCs w:val="17"/>
      </w:rPr>
      <w:t>www.imi.hr</w:t>
    </w:r>
  </w:p>
  <w:p w14:paraId="2EBE462D" w14:textId="77777777" w:rsidR="00275FDB" w:rsidRDefault="00275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2D4E3" w14:textId="77777777" w:rsidR="001545ED" w:rsidRDefault="001545ED" w:rsidP="008B387C">
      <w:pPr>
        <w:spacing w:after="0" w:line="240" w:lineRule="auto"/>
      </w:pPr>
      <w:r>
        <w:separator/>
      </w:r>
    </w:p>
  </w:footnote>
  <w:footnote w:type="continuationSeparator" w:id="0">
    <w:p w14:paraId="775A122D" w14:textId="77777777" w:rsidR="001545ED" w:rsidRDefault="001545ED" w:rsidP="008B3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8AE3D" w14:textId="77777777" w:rsidR="00275FDB" w:rsidRDefault="00275FDB">
    <w:pPr>
      <w:pStyle w:val="Header"/>
    </w:pPr>
    <w:r>
      <w:t xml:space="preserve">                                   </w:t>
    </w:r>
    <w:r>
      <w:rPr>
        <w:noProof/>
        <w:lang w:eastAsia="hr-HR"/>
      </w:rPr>
      <w:drawing>
        <wp:inline distT="0" distB="0" distL="0" distR="0" wp14:anchorId="71F7B36B" wp14:editId="46AB0B0E">
          <wp:extent cx="3160395" cy="1428750"/>
          <wp:effectExtent l="0" t="0" r="1905" b="0"/>
          <wp:docPr id="1" name="Picture 1" descr="Z:\Vizualni identitet\Znakovi\JPG\znak i logo Boja dvojezic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zualni identitet\Znakovi\JPG\znak i logo Boja dvojezicn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0395" cy="1428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9A01D" w14:textId="77777777" w:rsidR="00275FDB" w:rsidRDefault="00275FDB">
    <w:pPr>
      <w:pStyle w:val="Header"/>
    </w:pPr>
    <w:r>
      <w:t xml:space="preserve">                                 </w:t>
    </w:r>
    <w:r>
      <w:rPr>
        <w:noProof/>
        <w:lang w:eastAsia="hr-HR"/>
      </w:rPr>
      <w:drawing>
        <wp:inline distT="0" distB="0" distL="0" distR="0" wp14:anchorId="2AD3E33E" wp14:editId="1DC17C1F">
          <wp:extent cx="3160395" cy="1572895"/>
          <wp:effectExtent l="0" t="0" r="1905" b="8255"/>
          <wp:docPr id="3" name="Picture 1" descr="Z:\Vizualni identitet\Znakovi\JPG\znak i logo Boja dvojezic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Vizualni identitet\Znakovi\JPG\znak i logo Boja dvojezic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0395" cy="1572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28A6"/>
    <w:multiLevelType w:val="hybridMultilevel"/>
    <w:tmpl w:val="3AFEA3A2"/>
    <w:lvl w:ilvl="0" w:tplc="17C2DB8E">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17C768F4"/>
    <w:multiLevelType w:val="hybridMultilevel"/>
    <w:tmpl w:val="A3A47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D94697C"/>
    <w:multiLevelType w:val="hybridMultilevel"/>
    <w:tmpl w:val="6886611E"/>
    <w:lvl w:ilvl="0" w:tplc="041A000F">
      <w:start w:val="1"/>
      <w:numFmt w:val="decimal"/>
      <w:lvlText w:val="%1."/>
      <w:lvlJc w:val="left"/>
      <w:pPr>
        <w:ind w:left="720" w:hanging="360"/>
      </w:pPr>
      <w:rPr>
        <w:rFonts w:hint="default"/>
      </w:rPr>
    </w:lvl>
    <w:lvl w:ilvl="1" w:tplc="2788FA64">
      <w:start w:val="2"/>
      <w:numFmt w:val="bullet"/>
      <w:lvlText w:val="–"/>
      <w:lvlJc w:val="left"/>
      <w:pPr>
        <w:ind w:left="1440" w:hanging="360"/>
      </w:pPr>
      <w:rPr>
        <w:rFonts w:ascii="Calibri Light" w:eastAsia="Calibri" w:hAnsi="Calibri Light"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08B241A"/>
    <w:multiLevelType w:val="hybridMultilevel"/>
    <w:tmpl w:val="7FAED3E6"/>
    <w:lvl w:ilvl="0" w:tplc="C4A8E514">
      <w:start w:val="1"/>
      <w:numFmt w:val="bullet"/>
      <w:lvlText w:val=""/>
      <w:lvlJc w:val="left"/>
      <w:pPr>
        <w:ind w:left="720" w:hanging="360"/>
      </w:pPr>
      <w:rPr>
        <w:rFonts w:ascii="Symbol" w:hAnsi="Symbol" w:hint="default"/>
      </w:rPr>
    </w:lvl>
    <w:lvl w:ilvl="1" w:tplc="E788D51E" w:tentative="1">
      <w:start w:val="1"/>
      <w:numFmt w:val="bullet"/>
      <w:lvlText w:val="o"/>
      <w:lvlJc w:val="left"/>
      <w:pPr>
        <w:ind w:left="1440" w:hanging="360"/>
      </w:pPr>
      <w:rPr>
        <w:rFonts w:ascii="Courier New" w:hAnsi="Courier New" w:cs="Courier New" w:hint="default"/>
      </w:rPr>
    </w:lvl>
    <w:lvl w:ilvl="2" w:tplc="929871A2" w:tentative="1">
      <w:start w:val="1"/>
      <w:numFmt w:val="bullet"/>
      <w:lvlText w:val=""/>
      <w:lvlJc w:val="left"/>
      <w:pPr>
        <w:ind w:left="2160" w:hanging="360"/>
      </w:pPr>
      <w:rPr>
        <w:rFonts w:ascii="Wingdings" w:hAnsi="Wingdings" w:hint="default"/>
      </w:rPr>
    </w:lvl>
    <w:lvl w:ilvl="3" w:tplc="C72A2D86" w:tentative="1">
      <w:start w:val="1"/>
      <w:numFmt w:val="bullet"/>
      <w:lvlText w:val=""/>
      <w:lvlJc w:val="left"/>
      <w:pPr>
        <w:ind w:left="2880" w:hanging="360"/>
      </w:pPr>
      <w:rPr>
        <w:rFonts w:ascii="Symbol" w:hAnsi="Symbol" w:hint="default"/>
      </w:rPr>
    </w:lvl>
    <w:lvl w:ilvl="4" w:tplc="DD9AF1A8" w:tentative="1">
      <w:start w:val="1"/>
      <w:numFmt w:val="bullet"/>
      <w:lvlText w:val="o"/>
      <w:lvlJc w:val="left"/>
      <w:pPr>
        <w:ind w:left="3600" w:hanging="360"/>
      </w:pPr>
      <w:rPr>
        <w:rFonts w:ascii="Courier New" w:hAnsi="Courier New" w:cs="Courier New" w:hint="default"/>
      </w:rPr>
    </w:lvl>
    <w:lvl w:ilvl="5" w:tplc="6E309EA8" w:tentative="1">
      <w:start w:val="1"/>
      <w:numFmt w:val="bullet"/>
      <w:lvlText w:val=""/>
      <w:lvlJc w:val="left"/>
      <w:pPr>
        <w:ind w:left="4320" w:hanging="360"/>
      </w:pPr>
      <w:rPr>
        <w:rFonts w:ascii="Wingdings" w:hAnsi="Wingdings" w:hint="default"/>
      </w:rPr>
    </w:lvl>
    <w:lvl w:ilvl="6" w:tplc="2640DC56" w:tentative="1">
      <w:start w:val="1"/>
      <w:numFmt w:val="bullet"/>
      <w:lvlText w:val=""/>
      <w:lvlJc w:val="left"/>
      <w:pPr>
        <w:ind w:left="5040" w:hanging="360"/>
      </w:pPr>
      <w:rPr>
        <w:rFonts w:ascii="Symbol" w:hAnsi="Symbol" w:hint="default"/>
      </w:rPr>
    </w:lvl>
    <w:lvl w:ilvl="7" w:tplc="5CA0EE54" w:tentative="1">
      <w:start w:val="1"/>
      <w:numFmt w:val="bullet"/>
      <w:lvlText w:val="o"/>
      <w:lvlJc w:val="left"/>
      <w:pPr>
        <w:ind w:left="5760" w:hanging="360"/>
      </w:pPr>
      <w:rPr>
        <w:rFonts w:ascii="Courier New" w:hAnsi="Courier New" w:cs="Courier New" w:hint="default"/>
      </w:rPr>
    </w:lvl>
    <w:lvl w:ilvl="8" w:tplc="CE54EE30" w:tentative="1">
      <w:start w:val="1"/>
      <w:numFmt w:val="bullet"/>
      <w:lvlText w:val=""/>
      <w:lvlJc w:val="left"/>
      <w:pPr>
        <w:ind w:left="6480" w:hanging="360"/>
      </w:pPr>
      <w:rPr>
        <w:rFonts w:ascii="Wingdings" w:hAnsi="Wingdings" w:hint="default"/>
      </w:rPr>
    </w:lvl>
  </w:abstractNum>
  <w:abstractNum w:abstractNumId="4">
    <w:nsid w:val="218D5689"/>
    <w:multiLevelType w:val="multilevel"/>
    <w:tmpl w:val="31C005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5F13F71"/>
    <w:multiLevelType w:val="multilevel"/>
    <w:tmpl w:val="6206E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EC2D90"/>
    <w:multiLevelType w:val="hybridMultilevel"/>
    <w:tmpl w:val="68A861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D137A37"/>
    <w:multiLevelType w:val="hybridMultilevel"/>
    <w:tmpl w:val="D5D26FC0"/>
    <w:lvl w:ilvl="0" w:tplc="ECE6F6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16819C1"/>
    <w:multiLevelType w:val="hybridMultilevel"/>
    <w:tmpl w:val="6032F878"/>
    <w:lvl w:ilvl="0" w:tplc="559478EC">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1734940"/>
    <w:multiLevelType w:val="multilevel"/>
    <w:tmpl w:val="CF384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3CD7424"/>
    <w:multiLevelType w:val="multilevel"/>
    <w:tmpl w:val="95AC6DAE"/>
    <w:lvl w:ilvl="0">
      <w:start w:val="1"/>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216FB1"/>
    <w:multiLevelType w:val="hybridMultilevel"/>
    <w:tmpl w:val="467C904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94A790F"/>
    <w:multiLevelType w:val="hybridMultilevel"/>
    <w:tmpl w:val="89BA1BD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E1C6F1F"/>
    <w:multiLevelType w:val="hybridMultilevel"/>
    <w:tmpl w:val="6D20E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F1A0670"/>
    <w:multiLevelType w:val="hybridMultilevel"/>
    <w:tmpl w:val="4F025118"/>
    <w:lvl w:ilvl="0" w:tplc="559478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FD92EE8"/>
    <w:multiLevelType w:val="hybridMultilevel"/>
    <w:tmpl w:val="68FE510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49723AA"/>
    <w:multiLevelType w:val="hybridMultilevel"/>
    <w:tmpl w:val="CF4E5A36"/>
    <w:lvl w:ilvl="0" w:tplc="51B63CC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nsid w:val="53FD4CC1"/>
    <w:multiLevelType w:val="hybridMultilevel"/>
    <w:tmpl w:val="75C46802"/>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B995840"/>
    <w:multiLevelType w:val="hybridMultilevel"/>
    <w:tmpl w:val="3E3AC0E0"/>
    <w:lvl w:ilvl="0" w:tplc="041A000F">
      <w:start w:val="1"/>
      <w:numFmt w:val="decimal"/>
      <w:lvlText w:val="%1."/>
      <w:lvlJc w:val="left"/>
      <w:pPr>
        <w:ind w:left="360" w:hanging="360"/>
      </w:pPr>
      <w:rPr>
        <w:rFonts w:hint="default"/>
      </w:rPr>
    </w:lvl>
    <w:lvl w:ilvl="1" w:tplc="C9C6382A">
      <w:numFmt w:val="bullet"/>
      <w:lvlText w:val="–"/>
      <w:lvlJc w:val="left"/>
      <w:pPr>
        <w:ind w:left="1080" w:hanging="360"/>
      </w:pPr>
      <w:rPr>
        <w:rFonts w:ascii="Calibri" w:eastAsia="DengXian" w:hAnsi="Calibri"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5F6B6393"/>
    <w:multiLevelType w:val="hybridMultilevel"/>
    <w:tmpl w:val="A164E6E6"/>
    <w:lvl w:ilvl="0" w:tplc="559478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6D94D3D"/>
    <w:multiLevelType w:val="hybridMultilevel"/>
    <w:tmpl w:val="F09A0412"/>
    <w:lvl w:ilvl="0" w:tplc="559478EC">
      <w:start w:val="1"/>
      <w:numFmt w:val="decimal"/>
      <w:lvlText w:val="%1."/>
      <w:lvlJc w:val="left"/>
      <w:pPr>
        <w:ind w:left="720" w:hanging="360"/>
      </w:pPr>
      <w:rPr>
        <w:rFonts w:hint="default"/>
        <w:b/>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21">
    <w:nsid w:val="684A2373"/>
    <w:multiLevelType w:val="hybridMultilevel"/>
    <w:tmpl w:val="C908DBE2"/>
    <w:lvl w:ilvl="0" w:tplc="559478EC">
      <w:start w:val="2"/>
      <w:numFmt w:val="bullet"/>
      <w:lvlText w:val="•"/>
      <w:lvlJc w:val="left"/>
      <w:pPr>
        <w:ind w:left="360" w:hanging="360"/>
      </w:pPr>
      <w:rPr>
        <w:rFonts w:ascii="Calibri Light" w:eastAsia="Times New Roman" w:hAnsi="Calibri Light"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22">
    <w:nsid w:val="6F7E0C2F"/>
    <w:multiLevelType w:val="hybridMultilevel"/>
    <w:tmpl w:val="4914E932"/>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FBE1B2D"/>
    <w:multiLevelType w:val="hybridMultilevel"/>
    <w:tmpl w:val="115C7962"/>
    <w:lvl w:ilvl="0" w:tplc="73BED13A">
      <w:start w:val="1"/>
      <w:numFmt w:val="bullet"/>
      <w:lvlText w:val=""/>
      <w:lvlJc w:val="left"/>
      <w:pPr>
        <w:ind w:left="720" w:hanging="360"/>
      </w:pPr>
      <w:rPr>
        <w:rFonts w:ascii="Symbol" w:hAnsi="Symbol" w:hint="default"/>
      </w:rPr>
    </w:lvl>
    <w:lvl w:ilvl="1" w:tplc="04240003">
      <w:start w:val="4"/>
      <w:numFmt w:val="bullet"/>
      <w:lvlText w:val="-"/>
      <w:lvlJc w:val="left"/>
      <w:pPr>
        <w:ind w:left="1440" w:hanging="360"/>
      </w:pPr>
      <w:rPr>
        <w:rFonts w:ascii="Calibri Light" w:eastAsia="Calibri" w:hAnsi="Calibri Light" w:cs="Calibri" w:hint="default"/>
        <w:b/>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16C1528"/>
    <w:multiLevelType w:val="hybridMultilevel"/>
    <w:tmpl w:val="45A08B1A"/>
    <w:lvl w:ilvl="0" w:tplc="559478EC">
      <w:start w:val="1"/>
      <w:numFmt w:val="bullet"/>
      <w:lvlText w:val=""/>
      <w:lvlJc w:val="left"/>
      <w:pPr>
        <w:ind w:left="720" w:hanging="360"/>
      </w:pPr>
      <w:rPr>
        <w:rFonts w:ascii="Symbol" w:hAnsi="Symbol" w:hint="default"/>
        <w:color w:val="auto"/>
      </w:rPr>
    </w:lvl>
    <w:lvl w:ilvl="1" w:tplc="559478EC"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33D4743"/>
    <w:multiLevelType w:val="multilevel"/>
    <w:tmpl w:val="10527D02"/>
    <w:lvl w:ilvl="0">
      <w:start w:val="4"/>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3CD3D3E"/>
    <w:multiLevelType w:val="multilevel"/>
    <w:tmpl w:val="A3A471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4675F43"/>
    <w:multiLevelType w:val="multilevel"/>
    <w:tmpl w:val="7242E236"/>
    <w:lvl w:ilvl="0">
      <w:start w:val="1"/>
      <w:numFmt w:val="decimal"/>
      <w:lvlText w:val="%1."/>
      <w:lvlJc w:val="left"/>
      <w:pPr>
        <w:ind w:left="720" w:hanging="360"/>
      </w:pPr>
      <w:rPr>
        <w:rFonts w:hint="default"/>
        <w:b/>
        <w:u w:val="none"/>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563203F"/>
    <w:multiLevelType w:val="hybridMultilevel"/>
    <w:tmpl w:val="20A83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8617590"/>
    <w:multiLevelType w:val="multilevel"/>
    <w:tmpl w:val="7CC4F7DE"/>
    <w:lvl w:ilvl="0">
      <w:start w:val="1"/>
      <w:numFmt w:val="decimal"/>
      <w:lvlText w:val="%1."/>
      <w:lvlJc w:val="left"/>
      <w:pPr>
        <w:ind w:left="720" w:hanging="360"/>
      </w:pPr>
      <w:rPr>
        <w:rFonts w:hint="default"/>
        <w:b w:val="0"/>
        <w:u w:val="none"/>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BCA59A6"/>
    <w:multiLevelType w:val="hybridMultilevel"/>
    <w:tmpl w:val="ED905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19"/>
  </w:num>
  <w:num w:numId="8">
    <w:abstractNumId w:val="14"/>
  </w:num>
  <w:num w:numId="9">
    <w:abstractNumId w:val="30"/>
  </w:num>
  <w:num w:numId="10">
    <w:abstractNumId w:val="6"/>
  </w:num>
  <w:num w:numId="11">
    <w:abstractNumId w:val="7"/>
  </w:num>
  <w:num w:numId="12">
    <w:abstractNumId w:val="23"/>
  </w:num>
  <w:num w:numId="13">
    <w:abstractNumId w:val="2"/>
  </w:num>
  <w:num w:numId="14">
    <w:abstractNumId w:val="1"/>
  </w:num>
  <w:num w:numId="15">
    <w:abstractNumId w:val="26"/>
  </w:num>
  <w:num w:numId="16">
    <w:abstractNumId w:val="4"/>
  </w:num>
  <w:num w:numId="17">
    <w:abstractNumId w:val="8"/>
  </w:num>
  <w:num w:numId="18">
    <w:abstractNumId w:val="24"/>
  </w:num>
  <w:num w:numId="19">
    <w:abstractNumId w:val="21"/>
  </w:num>
  <w:num w:numId="20">
    <w:abstractNumId w:val="11"/>
  </w:num>
  <w:num w:numId="21">
    <w:abstractNumId w:val="15"/>
  </w:num>
  <w:num w:numId="22">
    <w:abstractNumId w:val="17"/>
  </w:num>
  <w:num w:numId="23">
    <w:abstractNumId w:val="22"/>
  </w:num>
  <w:num w:numId="24">
    <w:abstractNumId w:val="16"/>
  </w:num>
  <w:num w:numId="25">
    <w:abstractNumId w:val="25"/>
  </w:num>
  <w:num w:numId="26">
    <w:abstractNumId w:val="13"/>
  </w:num>
  <w:num w:numId="27">
    <w:abstractNumId w:val="28"/>
  </w:num>
  <w:num w:numId="28">
    <w:abstractNumId w:val="18"/>
  </w:num>
  <w:num w:numId="29">
    <w:abstractNumId w:val="27"/>
  </w:num>
  <w:num w:numId="30">
    <w:abstractNumId w:val="10"/>
  </w:num>
  <w:num w:numId="3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6E"/>
    <w:rsid w:val="0000533B"/>
    <w:rsid w:val="00005EB6"/>
    <w:rsid w:val="0000790E"/>
    <w:rsid w:val="00015997"/>
    <w:rsid w:val="000168D4"/>
    <w:rsid w:val="0002346F"/>
    <w:rsid w:val="000313F0"/>
    <w:rsid w:val="00043522"/>
    <w:rsid w:val="00062ED2"/>
    <w:rsid w:val="00072CC8"/>
    <w:rsid w:val="00091ABA"/>
    <w:rsid w:val="000972CC"/>
    <w:rsid w:val="000A2662"/>
    <w:rsid w:val="000B034A"/>
    <w:rsid w:val="000B78FB"/>
    <w:rsid w:val="000D61D4"/>
    <w:rsid w:val="000E3175"/>
    <w:rsid w:val="000E4B09"/>
    <w:rsid w:val="000F33D6"/>
    <w:rsid w:val="0010028D"/>
    <w:rsid w:val="0011274C"/>
    <w:rsid w:val="001253CC"/>
    <w:rsid w:val="00127B0E"/>
    <w:rsid w:val="00135218"/>
    <w:rsid w:val="001360C8"/>
    <w:rsid w:val="001545ED"/>
    <w:rsid w:val="00154806"/>
    <w:rsid w:val="001643DB"/>
    <w:rsid w:val="001A4433"/>
    <w:rsid w:val="001A4DBC"/>
    <w:rsid w:val="001B43C5"/>
    <w:rsid w:val="001C08AC"/>
    <w:rsid w:val="001C7FBF"/>
    <w:rsid w:val="001D75DC"/>
    <w:rsid w:val="001E55FF"/>
    <w:rsid w:val="001F3C20"/>
    <w:rsid w:val="001F7F4B"/>
    <w:rsid w:val="002207C5"/>
    <w:rsid w:val="00224143"/>
    <w:rsid w:val="00240708"/>
    <w:rsid w:val="002466A7"/>
    <w:rsid w:val="00255D64"/>
    <w:rsid w:val="00273C29"/>
    <w:rsid w:val="00275FDB"/>
    <w:rsid w:val="00281F83"/>
    <w:rsid w:val="00283A6B"/>
    <w:rsid w:val="002841C8"/>
    <w:rsid w:val="002858AA"/>
    <w:rsid w:val="002A6078"/>
    <w:rsid w:val="002D177B"/>
    <w:rsid w:val="002D40DC"/>
    <w:rsid w:val="002D5D56"/>
    <w:rsid w:val="002E65D7"/>
    <w:rsid w:val="00323C87"/>
    <w:rsid w:val="00335174"/>
    <w:rsid w:val="0035327F"/>
    <w:rsid w:val="00354585"/>
    <w:rsid w:val="003604D7"/>
    <w:rsid w:val="00364812"/>
    <w:rsid w:val="00380B44"/>
    <w:rsid w:val="00382AEE"/>
    <w:rsid w:val="00395A34"/>
    <w:rsid w:val="003A2B35"/>
    <w:rsid w:val="003D76F5"/>
    <w:rsid w:val="00400B6B"/>
    <w:rsid w:val="00400E1C"/>
    <w:rsid w:val="0040205A"/>
    <w:rsid w:val="004036E9"/>
    <w:rsid w:val="00404C15"/>
    <w:rsid w:val="00423EA4"/>
    <w:rsid w:val="00427056"/>
    <w:rsid w:val="00431809"/>
    <w:rsid w:val="00434F63"/>
    <w:rsid w:val="00444A13"/>
    <w:rsid w:val="00446205"/>
    <w:rsid w:val="00455B64"/>
    <w:rsid w:val="00466796"/>
    <w:rsid w:val="004763A5"/>
    <w:rsid w:val="004928D9"/>
    <w:rsid w:val="00495CE7"/>
    <w:rsid w:val="004A2F33"/>
    <w:rsid w:val="004A53A2"/>
    <w:rsid w:val="004B552E"/>
    <w:rsid w:val="004C364C"/>
    <w:rsid w:val="004E10C9"/>
    <w:rsid w:val="004E2998"/>
    <w:rsid w:val="004F1D4F"/>
    <w:rsid w:val="00520A73"/>
    <w:rsid w:val="005255A6"/>
    <w:rsid w:val="0053196F"/>
    <w:rsid w:val="00543369"/>
    <w:rsid w:val="005455AB"/>
    <w:rsid w:val="005735A2"/>
    <w:rsid w:val="00574BBB"/>
    <w:rsid w:val="00576178"/>
    <w:rsid w:val="00576598"/>
    <w:rsid w:val="00577F30"/>
    <w:rsid w:val="00582238"/>
    <w:rsid w:val="005C0079"/>
    <w:rsid w:val="005C01D9"/>
    <w:rsid w:val="005C38AE"/>
    <w:rsid w:val="005C4ED6"/>
    <w:rsid w:val="005C612F"/>
    <w:rsid w:val="005C6450"/>
    <w:rsid w:val="005D5D9F"/>
    <w:rsid w:val="005D6105"/>
    <w:rsid w:val="005D6F19"/>
    <w:rsid w:val="005F21B3"/>
    <w:rsid w:val="00601921"/>
    <w:rsid w:val="00612BF5"/>
    <w:rsid w:val="00623F7F"/>
    <w:rsid w:val="00633D5F"/>
    <w:rsid w:val="006413A8"/>
    <w:rsid w:val="006547C1"/>
    <w:rsid w:val="0065742F"/>
    <w:rsid w:val="006B6D9A"/>
    <w:rsid w:val="006B7498"/>
    <w:rsid w:val="006C6E40"/>
    <w:rsid w:val="006E5CA0"/>
    <w:rsid w:val="006F4CB2"/>
    <w:rsid w:val="006F7576"/>
    <w:rsid w:val="00704F6D"/>
    <w:rsid w:val="0070706E"/>
    <w:rsid w:val="007501BC"/>
    <w:rsid w:val="00764B61"/>
    <w:rsid w:val="00774EB6"/>
    <w:rsid w:val="00784D1F"/>
    <w:rsid w:val="007868AA"/>
    <w:rsid w:val="00791135"/>
    <w:rsid w:val="00794495"/>
    <w:rsid w:val="007A7825"/>
    <w:rsid w:val="007B67AD"/>
    <w:rsid w:val="007C1B1C"/>
    <w:rsid w:val="007D6A90"/>
    <w:rsid w:val="007E690F"/>
    <w:rsid w:val="007E79A8"/>
    <w:rsid w:val="007F0429"/>
    <w:rsid w:val="00801F9C"/>
    <w:rsid w:val="00807F4E"/>
    <w:rsid w:val="008226AC"/>
    <w:rsid w:val="00840EAD"/>
    <w:rsid w:val="0084507C"/>
    <w:rsid w:val="00864FE8"/>
    <w:rsid w:val="00874CD8"/>
    <w:rsid w:val="0089060C"/>
    <w:rsid w:val="00890ECA"/>
    <w:rsid w:val="008B387C"/>
    <w:rsid w:val="008B6CCF"/>
    <w:rsid w:val="008C35BB"/>
    <w:rsid w:val="008C4027"/>
    <w:rsid w:val="008D74CB"/>
    <w:rsid w:val="008F0102"/>
    <w:rsid w:val="008F31F1"/>
    <w:rsid w:val="008F63B2"/>
    <w:rsid w:val="009113B0"/>
    <w:rsid w:val="0091760E"/>
    <w:rsid w:val="00921BA7"/>
    <w:rsid w:val="009245D5"/>
    <w:rsid w:val="009255E1"/>
    <w:rsid w:val="0093446A"/>
    <w:rsid w:val="00937C10"/>
    <w:rsid w:val="0095425E"/>
    <w:rsid w:val="00957BDE"/>
    <w:rsid w:val="00975CDA"/>
    <w:rsid w:val="00976098"/>
    <w:rsid w:val="0097692E"/>
    <w:rsid w:val="00985309"/>
    <w:rsid w:val="009874CD"/>
    <w:rsid w:val="00995419"/>
    <w:rsid w:val="009B0DC2"/>
    <w:rsid w:val="009B24F1"/>
    <w:rsid w:val="009D1A8B"/>
    <w:rsid w:val="00A04442"/>
    <w:rsid w:val="00A23C44"/>
    <w:rsid w:val="00A30DBD"/>
    <w:rsid w:val="00A44066"/>
    <w:rsid w:val="00A5519A"/>
    <w:rsid w:val="00A609F4"/>
    <w:rsid w:val="00A62AFE"/>
    <w:rsid w:val="00A66D2B"/>
    <w:rsid w:val="00A9558E"/>
    <w:rsid w:val="00AC3A20"/>
    <w:rsid w:val="00AC504F"/>
    <w:rsid w:val="00AE2CFE"/>
    <w:rsid w:val="00AE415A"/>
    <w:rsid w:val="00AE5B9E"/>
    <w:rsid w:val="00B33B87"/>
    <w:rsid w:val="00B423FB"/>
    <w:rsid w:val="00B439D1"/>
    <w:rsid w:val="00B627F0"/>
    <w:rsid w:val="00B62C5E"/>
    <w:rsid w:val="00B67F45"/>
    <w:rsid w:val="00B7734E"/>
    <w:rsid w:val="00B813C4"/>
    <w:rsid w:val="00B942CA"/>
    <w:rsid w:val="00B944D8"/>
    <w:rsid w:val="00B95810"/>
    <w:rsid w:val="00BA2C7A"/>
    <w:rsid w:val="00BB1BB3"/>
    <w:rsid w:val="00BB579A"/>
    <w:rsid w:val="00BC763E"/>
    <w:rsid w:val="00BD121A"/>
    <w:rsid w:val="00BD47C7"/>
    <w:rsid w:val="00BE4914"/>
    <w:rsid w:val="00C0576E"/>
    <w:rsid w:val="00C11F3F"/>
    <w:rsid w:val="00C1564C"/>
    <w:rsid w:val="00C21B0B"/>
    <w:rsid w:val="00C24B06"/>
    <w:rsid w:val="00C40505"/>
    <w:rsid w:val="00C46229"/>
    <w:rsid w:val="00C513E0"/>
    <w:rsid w:val="00C54B9B"/>
    <w:rsid w:val="00C63048"/>
    <w:rsid w:val="00C74327"/>
    <w:rsid w:val="00C80E35"/>
    <w:rsid w:val="00C8462C"/>
    <w:rsid w:val="00C90AB4"/>
    <w:rsid w:val="00C93E48"/>
    <w:rsid w:val="00CA0C5B"/>
    <w:rsid w:val="00CC769E"/>
    <w:rsid w:val="00CD70E6"/>
    <w:rsid w:val="00CE3BAE"/>
    <w:rsid w:val="00CF152F"/>
    <w:rsid w:val="00CF5C0D"/>
    <w:rsid w:val="00CF6D34"/>
    <w:rsid w:val="00D069E9"/>
    <w:rsid w:val="00D14499"/>
    <w:rsid w:val="00D21433"/>
    <w:rsid w:val="00D23A50"/>
    <w:rsid w:val="00D511DD"/>
    <w:rsid w:val="00D5215A"/>
    <w:rsid w:val="00D557DE"/>
    <w:rsid w:val="00D80E6C"/>
    <w:rsid w:val="00D81112"/>
    <w:rsid w:val="00D94A38"/>
    <w:rsid w:val="00DB52D6"/>
    <w:rsid w:val="00DC12CF"/>
    <w:rsid w:val="00DC169D"/>
    <w:rsid w:val="00DC32D9"/>
    <w:rsid w:val="00DD7739"/>
    <w:rsid w:val="00DE4E53"/>
    <w:rsid w:val="00DE723E"/>
    <w:rsid w:val="00E02494"/>
    <w:rsid w:val="00E204FA"/>
    <w:rsid w:val="00E234D6"/>
    <w:rsid w:val="00E3051C"/>
    <w:rsid w:val="00E360A0"/>
    <w:rsid w:val="00E52019"/>
    <w:rsid w:val="00E625ED"/>
    <w:rsid w:val="00E636EB"/>
    <w:rsid w:val="00E70582"/>
    <w:rsid w:val="00E76449"/>
    <w:rsid w:val="00E76D50"/>
    <w:rsid w:val="00E80757"/>
    <w:rsid w:val="00E81052"/>
    <w:rsid w:val="00E845CB"/>
    <w:rsid w:val="00EA0B70"/>
    <w:rsid w:val="00EA0CCE"/>
    <w:rsid w:val="00EC05AA"/>
    <w:rsid w:val="00EC44A1"/>
    <w:rsid w:val="00ED2A75"/>
    <w:rsid w:val="00ED605A"/>
    <w:rsid w:val="00ED6256"/>
    <w:rsid w:val="00EE0048"/>
    <w:rsid w:val="00EE255D"/>
    <w:rsid w:val="00EE2A85"/>
    <w:rsid w:val="00EE7D8D"/>
    <w:rsid w:val="00EF6B1D"/>
    <w:rsid w:val="00F165C4"/>
    <w:rsid w:val="00F17CD5"/>
    <w:rsid w:val="00F22193"/>
    <w:rsid w:val="00F22543"/>
    <w:rsid w:val="00F33DC5"/>
    <w:rsid w:val="00F343A4"/>
    <w:rsid w:val="00F43CD9"/>
    <w:rsid w:val="00F44709"/>
    <w:rsid w:val="00F53855"/>
    <w:rsid w:val="00F559C1"/>
    <w:rsid w:val="00F7497F"/>
    <w:rsid w:val="00F77A9D"/>
    <w:rsid w:val="00F974A0"/>
    <w:rsid w:val="00FA05C0"/>
    <w:rsid w:val="00FB10EF"/>
    <w:rsid w:val="00FC2D8B"/>
    <w:rsid w:val="00FC78FE"/>
    <w:rsid w:val="00FD3622"/>
    <w:rsid w:val="00FD3FC2"/>
    <w:rsid w:val="00FE21E6"/>
    <w:rsid w:val="00FF0E48"/>
    <w:rsid w:val="00FF12CA"/>
    <w:rsid w:val="00FF19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E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7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C00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bCs/>
      <w:color w:val="000000"/>
      <w:sz w:val="20"/>
      <w:szCs w:val="20"/>
      <w:lang w:val="en-US" w:eastAsia="hr-HR"/>
    </w:rPr>
  </w:style>
  <w:style w:type="paragraph" w:styleId="Heading3">
    <w:name w:val="heading 3"/>
    <w:basedOn w:val="Normal"/>
    <w:next w:val="Normal"/>
    <w:link w:val="Heading3Char"/>
    <w:uiPriority w:val="9"/>
    <w:semiHidden/>
    <w:unhideWhenUsed/>
    <w:qFormat/>
    <w:rsid w:val="00DB52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8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87C"/>
  </w:style>
  <w:style w:type="paragraph" w:styleId="Footer">
    <w:name w:val="footer"/>
    <w:basedOn w:val="Normal"/>
    <w:link w:val="FooterChar"/>
    <w:uiPriority w:val="99"/>
    <w:unhideWhenUsed/>
    <w:rsid w:val="008B38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87C"/>
  </w:style>
  <w:style w:type="paragraph" w:customStyle="1" w:styleId="BasicParagraph">
    <w:name w:val="[Basic Paragraph]"/>
    <w:basedOn w:val="Normal"/>
    <w:uiPriority w:val="99"/>
    <w:rsid w:val="008B38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Default">
    <w:name w:val="Default"/>
    <w:rsid w:val="008B387C"/>
    <w:pPr>
      <w:widowControl w:val="0"/>
      <w:autoSpaceDE w:val="0"/>
      <w:autoSpaceDN w:val="0"/>
      <w:adjustRightInd w:val="0"/>
      <w:spacing w:after="0" w:line="240" w:lineRule="auto"/>
    </w:pPr>
    <w:rPr>
      <w:rFonts w:ascii="Calibri,Bold" w:eastAsia="Times New Roman" w:hAnsi="Calibri,Bold" w:cs="Calibri,Bold"/>
      <w:color w:val="000000"/>
      <w:sz w:val="24"/>
      <w:szCs w:val="24"/>
      <w:lang w:eastAsia="hr-HR"/>
    </w:rPr>
  </w:style>
  <w:style w:type="paragraph" w:styleId="ListParagraph">
    <w:name w:val="List Paragraph"/>
    <w:aliases w:val="Heading 12,TG lista,Heading 11,naslov 1,Naslov 12,Graf,Paragraph,List Paragraph Red,lp1,Paragraphe de liste PBLH,Graph &amp; Table tite,Normal bullet 2,Bullet list,Figure_name,Equipment,Numbered Indented Text,List Paragraph11 Char Char"/>
    <w:basedOn w:val="Normal"/>
    <w:link w:val="ListParagraphChar"/>
    <w:uiPriority w:val="34"/>
    <w:qFormat/>
    <w:rsid w:val="008B387C"/>
    <w:pPr>
      <w:spacing w:after="0" w:line="240" w:lineRule="auto"/>
      <w:ind w:left="708"/>
    </w:pPr>
    <w:rPr>
      <w:rFonts w:ascii="Times New Roman" w:eastAsia="Times New Roman" w:hAnsi="Times New Roman"/>
      <w:sz w:val="24"/>
      <w:szCs w:val="24"/>
    </w:rPr>
  </w:style>
  <w:style w:type="character" w:customStyle="1" w:styleId="ListParagraphChar">
    <w:name w:val="List Paragraph Char"/>
    <w:aliases w:val="Heading 12 Char,TG lista Char,Heading 11 Char,naslov 1 Char,Naslov 12 Char,Graf Char,Paragraph Char,List Paragraph Red Char,lp1 Char,Paragraphe de liste PBLH Char,Graph &amp; Table tite Char,Normal bullet 2 Char,Bullet list Char"/>
    <w:link w:val="ListParagraph"/>
    <w:uiPriority w:val="34"/>
    <w:qFormat/>
    <w:locked/>
    <w:rsid w:val="008B38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87C"/>
    <w:rPr>
      <w:color w:val="0563C1" w:themeColor="hyperlink"/>
      <w:u w:val="single"/>
    </w:rPr>
  </w:style>
  <w:style w:type="paragraph" w:styleId="NoSpacing">
    <w:name w:val="No Spacing"/>
    <w:link w:val="NoSpacingChar"/>
    <w:uiPriority w:val="1"/>
    <w:qFormat/>
    <w:rsid w:val="008B387C"/>
    <w:pPr>
      <w:spacing w:after="0" w:line="240" w:lineRule="auto"/>
    </w:pPr>
    <w:rPr>
      <w:rFonts w:ascii="Calibri" w:eastAsia="Calibri" w:hAnsi="Calibri" w:cs="Times New Roman"/>
    </w:rPr>
  </w:style>
  <w:style w:type="paragraph" w:customStyle="1" w:styleId="Style1">
    <w:name w:val="Style1"/>
    <w:basedOn w:val="Normal"/>
    <w:rsid w:val="002A6078"/>
    <w:pPr>
      <w:overflowPunct w:val="0"/>
      <w:autoSpaceDE w:val="0"/>
      <w:autoSpaceDN w:val="0"/>
      <w:adjustRightInd w:val="0"/>
      <w:spacing w:after="0" w:line="240" w:lineRule="auto"/>
      <w:jc w:val="both"/>
      <w:textAlignment w:val="baseline"/>
    </w:pPr>
    <w:rPr>
      <w:rFonts w:ascii="CRO_Calligraph-Italic" w:eastAsia="Times New Roman" w:hAnsi="CRO_Calligraph-Italic"/>
      <w:sz w:val="24"/>
      <w:szCs w:val="24"/>
      <w:lang w:val="en-US" w:eastAsia="hr-HR"/>
    </w:rPr>
  </w:style>
  <w:style w:type="paragraph" w:styleId="BalloonText">
    <w:name w:val="Balloon Text"/>
    <w:basedOn w:val="Normal"/>
    <w:link w:val="BalloonTextChar"/>
    <w:uiPriority w:val="99"/>
    <w:semiHidden/>
    <w:unhideWhenUsed/>
    <w:rsid w:val="00D0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9E9"/>
    <w:rPr>
      <w:rFonts w:ascii="Segoe UI" w:eastAsia="Calibri" w:hAnsi="Segoe UI" w:cs="Segoe UI"/>
      <w:sz w:val="18"/>
      <w:szCs w:val="18"/>
    </w:rPr>
  </w:style>
  <w:style w:type="character" w:styleId="CommentReference">
    <w:name w:val="annotation reference"/>
    <w:basedOn w:val="DefaultParagraphFont"/>
    <w:uiPriority w:val="99"/>
    <w:unhideWhenUsed/>
    <w:rsid w:val="008D74CB"/>
    <w:rPr>
      <w:sz w:val="16"/>
      <w:szCs w:val="16"/>
    </w:rPr>
  </w:style>
  <w:style w:type="paragraph" w:styleId="CommentText">
    <w:name w:val="annotation text"/>
    <w:basedOn w:val="Normal"/>
    <w:link w:val="CommentTextChar"/>
    <w:uiPriority w:val="99"/>
    <w:unhideWhenUsed/>
    <w:rsid w:val="008D74CB"/>
    <w:pPr>
      <w:spacing w:line="240" w:lineRule="auto"/>
    </w:pPr>
    <w:rPr>
      <w:sz w:val="20"/>
      <w:szCs w:val="20"/>
    </w:rPr>
  </w:style>
  <w:style w:type="character" w:customStyle="1" w:styleId="CommentTextChar">
    <w:name w:val="Comment Text Char"/>
    <w:basedOn w:val="DefaultParagraphFont"/>
    <w:link w:val="CommentText"/>
    <w:uiPriority w:val="99"/>
    <w:rsid w:val="008D74C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74CB"/>
    <w:rPr>
      <w:b/>
      <w:bCs/>
    </w:rPr>
  </w:style>
  <w:style w:type="character" w:customStyle="1" w:styleId="CommentSubjectChar">
    <w:name w:val="Comment Subject Char"/>
    <w:basedOn w:val="CommentTextChar"/>
    <w:link w:val="CommentSubject"/>
    <w:uiPriority w:val="99"/>
    <w:semiHidden/>
    <w:rsid w:val="008D74CB"/>
    <w:rPr>
      <w:rFonts w:ascii="Calibri" w:eastAsia="Calibri" w:hAnsi="Calibri" w:cs="Times New Roman"/>
      <w:b/>
      <w:bCs/>
      <w:sz w:val="20"/>
      <w:szCs w:val="20"/>
    </w:rPr>
  </w:style>
  <w:style w:type="character" w:customStyle="1" w:styleId="Heading1Char">
    <w:name w:val="Heading 1 Char"/>
    <w:basedOn w:val="DefaultParagraphFont"/>
    <w:link w:val="Heading1"/>
    <w:rsid w:val="005C0079"/>
    <w:rPr>
      <w:rFonts w:ascii="Times New Roman" w:eastAsia="Times New Roman" w:hAnsi="Times New Roman" w:cs="Times New Roman"/>
      <w:b/>
      <w:bCs/>
      <w:color w:val="000000"/>
      <w:sz w:val="20"/>
      <w:szCs w:val="20"/>
      <w:lang w:val="en-US" w:eastAsia="hr-HR"/>
    </w:rPr>
  </w:style>
  <w:style w:type="paragraph" w:customStyle="1" w:styleId="Standard">
    <w:name w:val="Standard"/>
    <w:rsid w:val="005C0079"/>
    <w:pPr>
      <w:widowControl w:val="0"/>
      <w:suppressAutoHyphens/>
      <w:spacing w:after="0" w:line="240" w:lineRule="auto"/>
    </w:pPr>
    <w:rPr>
      <w:rFonts w:ascii="Times New Roman" w:eastAsia="Lucida Sans Unicode" w:hAnsi="Times New Roman" w:cs="Tahoma"/>
      <w:color w:val="000000"/>
      <w:sz w:val="24"/>
      <w:szCs w:val="24"/>
      <w:lang w:eastAsia="hr-HR"/>
    </w:rPr>
  </w:style>
  <w:style w:type="character" w:customStyle="1" w:styleId="Bodytext2">
    <w:name w:val="Body text (2)_"/>
    <w:link w:val="Bodytext20"/>
    <w:rsid w:val="005C0079"/>
    <w:rPr>
      <w:rFonts w:ascii="Arial" w:eastAsia="Arial" w:hAnsi="Arial" w:cs="Arial"/>
      <w:shd w:val="clear" w:color="auto" w:fill="FFFFFF"/>
    </w:rPr>
  </w:style>
  <w:style w:type="paragraph" w:customStyle="1" w:styleId="Bodytext20">
    <w:name w:val="Body text (2)"/>
    <w:basedOn w:val="Normal"/>
    <w:link w:val="Bodytext2"/>
    <w:rsid w:val="005C0079"/>
    <w:pPr>
      <w:widowControl w:val="0"/>
      <w:shd w:val="clear" w:color="auto" w:fill="FFFFFF"/>
      <w:spacing w:after="0" w:line="230" w:lineRule="exact"/>
      <w:ind w:hanging="440"/>
      <w:jc w:val="both"/>
    </w:pPr>
    <w:rPr>
      <w:rFonts w:ascii="Arial" w:eastAsia="Arial" w:hAnsi="Arial" w:cs="Arial"/>
    </w:rPr>
  </w:style>
  <w:style w:type="character" w:customStyle="1" w:styleId="NoSpacingChar">
    <w:name w:val="No Spacing Char"/>
    <w:basedOn w:val="DefaultParagraphFont"/>
    <w:link w:val="NoSpacing"/>
    <w:uiPriority w:val="1"/>
    <w:locked/>
    <w:rsid w:val="009245D5"/>
    <w:rPr>
      <w:rFonts w:ascii="Calibri" w:eastAsia="Calibri" w:hAnsi="Calibri" w:cs="Times New Roman"/>
    </w:rPr>
  </w:style>
  <w:style w:type="character" w:customStyle="1" w:styleId="Heading3Char">
    <w:name w:val="Heading 3 Char"/>
    <w:basedOn w:val="DefaultParagraphFont"/>
    <w:link w:val="Heading3"/>
    <w:uiPriority w:val="9"/>
    <w:semiHidden/>
    <w:rsid w:val="00DB52D6"/>
    <w:rPr>
      <w:rFonts w:asciiTheme="majorHAnsi" w:eastAsiaTheme="majorEastAsia" w:hAnsiTheme="majorHAnsi" w:cstheme="majorBidi"/>
      <w:b/>
      <w:bCs/>
      <w:color w:val="5B9BD5" w:themeColor="accent1"/>
    </w:rPr>
  </w:style>
  <w:style w:type="table" w:styleId="TableGrid">
    <w:name w:val="Table Grid"/>
    <w:basedOn w:val="TableNormal"/>
    <w:uiPriority w:val="39"/>
    <w:rsid w:val="00DB52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040">
    <w:name w:val="box_453040"/>
    <w:basedOn w:val="Normal"/>
    <w:rsid w:val="0000533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odytext2Bold">
    <w:name w:val="Body text (2) + Bold"/>
    <w:rsid w:val="00224143"/>
    <w:rPr>
      <w:rFonts w:ascii="Arial" w:eastAsia="Arial" w:hAnsi="Arial" w:cs="Arial"/>
      <w:b/>
      <w:bCs/>
      <w:i w:val="0"/>
      <w:iCs w:val="0"/>
      <w:smallCaps w:val="0"/>
      <w:strike w:val="0"/>
      <w:color w:val="000000"/>
      <w:spacing w:val="0"/>
      <w:w w:val="100"/>
      <w:position w:val="0"/>
      <w:sz w:val="20"/>
      <w:szCs w:val="20"/>
      <w:u w:val="none"/>
      <w:lang w:val="hr-HR" w:eastAsia="hr-HR" w:bidi="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7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C007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bCs/>
      <w:color w:val="000000"/>
      <w:sz w:val="20"/>
      <w:szCs w:val="20"/>
      <w:lang w:val="en-US" w:eastAsia="hr-HR"/>
    </w:rPr>
  </w:style>
  <w:style w:type="paragraph" w:styleId="Heading3">
    <w:name w:val="heading 3"/>
    <w:basedOn w:val="Normal"/>
    <w:next w:val="Normal"/>
    <w:link w:val="Heading3Char"/>
    <w:uiPriority w:val="9"/>
    <w:semiHidden/>
    <w:unhideWhenUsed/>
    <w:qFormat/>
    <w:rsid w:val="00DB52D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8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87C"/>
  </w:style>
  <w:style w:type="paragraph" w:styleId="Footer">
    <w:name w:val="footer"/>
    <w:basedOn w:val="Normal"/>
    <w:link w:val="FooterChar"/>
    <w:uiPriority w:val="99"/>
    <w:unhideWhenUsed/>
    <w:rsid w:val="008B38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87C"/>
  </w:style>
  <w:style w:type="paragraph" w:customStyle="1" w:styleId="BasicParagraph">
    <w:name w:val="[Basic Paragraph]"/>
    <w:basedOn w:val="Normal"/>
    <w:uiPriority w:val="99"/>
    <w:rsid w:val="008B38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Default">
    <w:name w:val="Default"/>
    <w:rsid w:val="008B387C"/>
    <w:pPr>
      <w:widowControl w:val="0"/>
      <w:autoSpaceDE w:val="0"/>
      <w:autoSpaceDN w:val="0"/>
      <w:adjustRightInd w:val="0"/>
      <w:spacing w:after="0" w:line="240" w:lineRule="auto"/>
    </w:pPr>
    <w:rPr>
      <w:rFonts w:ascii="Calibri,Bold" w:eastAsia="Times New Roman" w:hAnsi="Calibri,Bold" w:cs="Calibri,Bold"/>
      <w:color w:val="000000"/>
      <w:sz w:val="24"/>
      <w:szCs w:val="24"/>
      <w:lang w:eastAsia="hr-HR"/>
    </w:rPr>
  </w:style>
  <w:style w:type="paragraph" w:styleId="ListParagraph">
    <w:name w:val="List Paragraph"/>
    <w:aliases w:val="Heading 12,TG lista,Heading 11,naslov 1,Naslov 12,Graf,Paragraph,List Paragraph Red,lp1,Paragraphe de liste PBLH,Graph &amp; Table tite,Normal bullet 2,Bullet list,Figure_name,Equipment,Numbered Indented Text,List Paragraph11 Char Char"/>
    <w:basedOn w:val="Normal"/>
    <w:link w:val="ListParagraphChar"/>
    <w:uiPriority w:val="34"/>
    <w:qFormat/>
    <w:rsid w:val="008B387C"/>
    <w:pPr>
      <w:spacing w:after="0" w:line="240" w:lineRule="auto"/>
      <w:ind w:left="708"/>
    </w:pPr>
    <w:rPr>
      <w:rFonts w:ascii="Times New Roman" w:eastAsia="Times New Roman" w:hAnsi="Times New Roman"/>
      <w:sz w:val="24"/>
      <w:szCs w:val="24"/>
    </w:rPr>
  </w:style>
  <w:style w:type="character" w:customStyle="1" w:styleId="ListParagraphChar">
    <w:name w:val="List Paragraph Char"/>
    <w:aliases w:val="Heading 12 Char,TG lista Char,Heading 11 Char,naslov 1 Char,Naslov 12 Char,Graf Char,Paragraph Char,List Paragraph Red Char,lp1 Char,Paragraphe de liste PBLH Char,Graph &amp; Table tite Char,Normal bullet 2 Char,Bullet list Char"/>
    <w:link w:val="ListParagraph"/>
    <w:uiPriority w:val="34"/>
    <w:qFormat/>
    <w:locked/>
    <w:rsid w:val="008B38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387C"/>
    <w:rPr>
      <w:color w:val="0563C1" w:themeColor="hyperlink"/>
      <w:u w:val="single"/>
    </w:rPr>
  </w:style>
  <w:style w:type="paragraph" w:styleId="NoSpacing">
    <w:name w:val="No Spacing"/>
    <w:link w:val="NoSpacingChar"/>
    <w:uiPriority w:val="1"/>
    <w:qFormat/>
    <w:rsid w:val="008B387C"/>
    <w:pPr>
      <w:spacing w:after="0" w:line="240" w:lineRule="auto"/>
    </w:pPr>
    <w:rPr>
      <w:rFonts w:ascii="Calibri" w:eastAsia="Calibri" w:hAnsi="Calibri" w:cs="Times New Roman"/>
    </w:rPr>
  </w:style>
  <w:style w:type="paragraph" w:customStyle="1" w:styleId="Style1">
    <w:name w:val="Style1"/>
    <w:basedOn w:val="Normal"/>
    <w:rsid w:val="002A6078"/>
    <w:pPr>
      <w:overflowPunct w:val="0"/>
      <w:autoSpaceDE w:val="0"/>
      <w:autoSpaceDN w:val="0"/>
      <w:adjustRightInd w:val="0"/>
      <w:spacing w:after="0" w:line="240" w:lineRule="auto"/>
      <w:jc w:val="both"/>
      <w:textAlignment w:val="baseline"/>
    </w:pPr>
    <w:rPr>
      <w:rFonts w:ascii="CRO_Calligraph-Italic" w:eastAsia="Times New Roman" w:hAnsi="CRO_Calligraph-Italic"/>
      <w:sz w:val="24"/>
      <w:szCs w:val="24"/>
      <w:lang w:val="en-US" w:eastAsia="hr-HR"/>
    </w:rPr>
  </w:style>
  <w:style w:type="paragraph" w:styleId="BalloonText">
    <w:name w:val="Balloon Text"/>
    <w:basedOn w:val="Normal"/>
    <w:link w:val="BalloonTextChar"/>
    <w:uiPriority w:val="99"/>
    <w:semiHidden/>
    <w:unhideWhenUsed/>
    <w:rsid w:val="00D06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9E9"/>
    <w:rPr>
      <w:rFonts w:ascii="Segoe UI" w:eastAsia="Calibri" w:hAnsi="Segoe UI" w:cs="Segoe UI"/>
      <w:sz w:val="18"/>
      <w:szCs w:val="18"/>
    </w:rPr>
  </w:style>
  <w:style w:type="character" w:styleId="CommentReference">
    <w:name w:val="annotation reference"/>
    <w:basedOn w:val="DefaultParagraphFont"/>
    <w:uiPriority w:val="99"/>
    <w:unhideWhenUsed/>
    <w:rsid w:val="008D74CB"/>
    <w:rPr>
      <w:sz w:val="16"/>
      <w:szCs w:val="16"/>
    </w:rPr>
  </w:style>
  <w:style w:type="paragraph" w:styleId="CommentText">
    <w:name w:val="annotation text"/>
    <w:basedOn w:val="Normal"/>
    <w:link w:val="CommentTextChar"/>
    <w:uiPriority w:val="99"/>
    <w:unhideWhenUsed/>
    <w:rsid w:val="008D74CB"/>
    <w:pPr>
      <w:spacing w:line="240" w:lineRule="auto"/>
    </w:pPr>
    <w:rPr>
      <w:sz w:val="20"/>
      <w:szCs w:val="20"/>
    </w:rPr>
  </w:style>
  <w:style w:type="character" w:customStyle="1" w:styleId="CommentTextChar">
    <w:name w:val="Comment Text Char"/>
    <w:basedOn w:val="DefaultParagraphFont"/>
    <w:link w:val="CommentText"/>
    <w:uiPriority w:val="99"/>
    <w:rsid w:val="008D74C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74CB"/>
    <w:rPr>
      <w:b/>
      <w:bCs/>
    </w:rPr>
  </w:style>
  <w:style w:type="character" w:customStyle="1" w:styleId="CommentSubjectChar">
    <w:name w:val="Comment Subject Char"/>
    <w:basedOn w:val="CommentTextChar"/>
    <w:link w:val="CommentSubject"/>
    <w:uiPriority w:val="99"/>
    <w:semiHidden/>
    <w:rsid w:val="008D74CB"/>
    <w:rPr>
      <w:rFonts w:ascii="Calibri" w:eastAsia="Calibri" w:hAnsi="Calibri" w:cs="Times New Roman"/>
      <w:b/>
      <w:bCs/>
      <w:sz w:val="20"/>
      <w:szCs w:val="20"/>
    </w:rPr>
  </w:style>
  <w:style w:type="character" w:customStyle="1" w:styleId="Heading1Char">
    <w:name w:val="Heading 1 Char"/>
    <w:basedOn w:val="DefaultParagraphFont"/>
    <w:link w:val="Heading1"/>
    <w:rsid w:val="005C0079"/>
    <w:rPr>
      <w:rFonts w:ascii="Times New Roman" w:eastAsia="Times New Roman" w:hAnsi="Times New Roman" w:cs="Times New Roman"/>
      <w:b/>
      <w:bCs/>
      <w:color w:val="000000"/>
      <w:sz w:val="20"/>
      <w:szCs w:val="20"/>
      <w:lang w:val="en-US" w:eastAsia="hr-HR"/>
    </w:rPr>
  </w:style>
  <w:style w:type="paragraph" w:customStyle="1" w:styleId="Standard">
    <w:name w:val="Standard"/>
    <w:rsid w:val="005C0079"/>
    <w:pPr>
      <w:widowControl w:val="0"/>
      <w:suppressAutoHyphens/>
      <w:spacing w:after="0" w:line="240" w:lineRule="auto"/>
    </w:pPr>
    <w:rPr>
      <w:rFonts w:ascii="Times New Roman" w:eastAsia="Lucida Sans Unicode" w:hAnsi="Times New Roman" w:cs="Tahoma"/>
      <w:color w:val="000000"/>
      <w:sz w:val="24"/>
      <w:szCs w:val="24"/>
      <w:lang w:eastAsia="hr-HR"/>
    </w:rPr>
  </w:style>
  <w:style w:type="character" w:customStyle="1" w:styleId="Bodytext2">
    <w:name w:val="Body text (2)_"/>
    <w:link w:val="Bodytext20"/>
    <w:rsid w:val="005C0079"/>
    <w:rPr>
      <w:rFonts w:ascii="Arial" w:eastAsia="Arial" w:hAnsi="Arial" w:cs="Arial"/>
      <w:shd w:val="clear" w:color="auto" w:fill="FFFFFF"/>
    </w:rPr>
  </w:style>
  <w:style w:type="paragraph" w:customStyle="1" w:styleId="Bodytext20">
    <w:name w:val="Body text (2)"/>
    <w:basedOn w:val="Normal"/>
    <w:link w:val="Bodytext2"/>
    <w:rsid w:val="005C0079"/>
    <w:pPr>
      <w:widowControl w:val="0"/>
      <w:shd w:val="clear" w:color="auto" w:fill="FFFFFF"/>
      <w:spacing w:after="0" w:line="230" w:lineRule="exact"/>
      <w:ind w:hanging="440"/>
      <w:jc w:val="both"/>
    </w:pPr>
    <w:rPr>
      <w:rFonts w:ascii="Arial" w:eastAsia="Arial" w:hAnsi="Arial" w:cs="Arial"/>
    </w:rPr>
  </w:style>
  <w:style w:type="character" w:customStyle="1" w:styleId="NoSpacingChar">
    <w:name w:val="No Spacing Char"/>
    <w:basedOn w:val="DefaultParagraphFont"/>
    <w:link w:val="NoSpacing"/>
    <w:uiPriority w:val="1"/>
    <w:locked/>
    <w:rsid w:val="009245D5"/>
    <w:rPr>
      <w:rFonts w:ascii="Calibri" w:eastAsia="Calibri" w:hAnsi="Calibri" w:cs="Times New Roman"/>
    </w:rPr>
  </w:style>
  <w:style w:type="character" w:customStyle="1" w:styleId="Heading3Char">
    <w:name w:val="Heading 3 Char"/>
    <w:basedOn w:val="DefaultParagraphFont"/>
    <w:link w:val="Heading3"/>
    <w:uiPriority w:val="9"/>
    <w:semiHidden/>
    <w:rsid w:val="00DB52D6"/>
    <w:rPr>
      <w:rFonts w:asciiTheme="majorHAnsi" w:eastAsiaTheme="majorEastAsia" w:hAnsiTheme="majorHAnsi" w:cstheme="majorBidi"/>
      <w:b/>
      <w:bCs/>
      <w:color w:val="5B9BD5" w:themeColor="accent1"/>
    </w:rPr>
  </w:style>
  <w:style w:type="table" w:styleId="TableGrid">
    <w:name w:val="Table Grid"/>
    <w:basedOn w:val="TableNormal"/>
    <w:uiPriority w:val="39"/>
    <w:rsid w:val="00DB52D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040">
    <w:name w:val="box_453040"/>
    <w:basedOn w:val="Normal"/>
    <w:rsid w:val="0000533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Bodytext2Bold">
    <w:name w:val="Body text (2) + Bold"/>
    <w:rsid w:val="00224143"/>
    <w:rPr>
      <w:rFonts w:ascii="Arial" w:eastAsia="Arial" w:hAnsi="Arial" w:cs="Arial"/>
      <w:b/>
      <w:bCs/>
      <w:i w:val="0"/>
      <w:iCs w:val="0"/>
      <w:smallCaps w:val="0"/>
      <w:strike w:val="0"/>
      <w:color w:val="000000"/>
      <w:spacing w:val="0"/>
      <w:w w:val="100"/>
      <w:position w:val="0"/>
      <w:sz w:val="20"/>
      <w:szCs w:val="20"/>
      <w:u w:val="none"/>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eojn.nn.hr/Oglasni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c.europa.eu/growth/tools-databases/espd/filter?lang=hr"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drobnjak@imi.h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mi.hr"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uprava@imi.hr"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A0F4-D553-4640-8252-A86F2B96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29</Pages>
  <Words>11105</Words>
  <Characters>63303</Characters>
  <Application>Microsoft Office Word</Application>
  <DocSecurity>0</DocSecurity>
  <Lines>527</Lines>
  <Paragraphs>148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Vrsta i količina predmeta nabave u cijelosti je iskazana u troškovniku i Dodatku</vt:lpstr>
      <vt:lpstr>Sukladno članku 4. stavku 1.a) Pravilnika o dokumentaciji o nabavi te ponudi u p</vt:lpstr>
      <vt:lpstr>        Podaci o angažiranim tehničkim stručnjacima ili tehničkim tijelima, neovisno o t</vt:lpstr>
      <vt:lpstr>5.1. Upute za popunjavanje ESPD obrasca</vt:lpstr>
    </vt:vector>
  </TitlesOfParts>
  <Company>IMI</Company>
  <LinksUpToDate>false</LinksUpToDate>
  <CharactersWithSpaces>74260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Petrić</dc:creator>
  <cp:lastModifiedBy>Spomenka Stankić Drobnjak</cp:lastModifiedBy>
  <cp:revision>20</cp:revision>
  <cp:lastPrinted>2018-07-26T11:49:00Z</cp:lastPrinted>
  <dcterms:created xsi:type="dcterms:W3CDTF">2018-07-02T13:02:00Z</dcterms:created>
  <dcterms:modified xsi:type="dcterms:W3CDTF">2018-07-26T12:03:00Z</dcterms:modified>
</cp:coreProperties>
</file>